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8567B7"/>
          <w:sz w:val="22"/>
        </w:rPr>
        <w:t>COLLECTION PREMIUM LCG</w:t>
      </w:r>
    </w:p>
    <w:p>
      <w:pPr>
        <w:jc w:val="center"/>
        <w:pBdr>
          <w:bottom w:val="single" w:sz="18" w:color="8567B7"/>
        </w:pBdr>
      </w:pPr>
      <w:r>
        <w:rPr>
          <w:b/>
          <w:color w:val="173F5F"/>
          <w:sz w:val="52"/>
        </w:rPr>
        <w:t>STRATÉGIE DIGITALE - DOSSIER DE DIRECTION</w:t>
      </w:r>
    </w:p>
    <w:p>
      <w:pPr>
        <w:jc w:val="center"/>
      </w:pPr>
      <w:r>
        <w:rPr>
          <w:color w:val="294A63"/>
          <w:sz w:val="26"/>
        </w:rPr>
        <w:t>Diagnostic, objectifs SMART, parcours, canaux, budget et gouvernance</w:t>
      </w:r>
    </w:p>
    <w:tbl>
      <w:tblPr>
        <w:tblW w:type="auto" w:w="0"/>
        <w:jc w:val="center"/>
        <w:tblLayout w:type="autofit"/>
        <w:tblLook w:firstColumn="1" w:firstRow="1" w:lastColumn="0" w:lastRow="0" w:noHBand="0" w:noVBand="1" w:val="04A0"/>
      </w:tblPr>
      <w:tblGrid>
        <w:gridCol w:w="2520"/>
        <w:gridCol w:w="2520"/>
        <w:gridCol w:w="2520"/>
        <w:gridCol w:w="2520"/>
      </w:tblGrid>
      <w:tr>
        <w:tc>
          <w:tcPr>
            <w:tcW w:type="dxa" w:w="2520"/>
            <w:shd w:fill="8567B7"/>
            <w:vAlign w:val="center"/>
          </w:tcPr>
          <w:p>
            <w:pPr>
              <w:jc w:val="center"/>
            </w:pPr>
            <w:r/>
            <w:r>
              <w:rPr>
                <w:b/>
                <w:color w:val="FFFFFF"/>
                <w:sz w:val="18"/>
              </w:rPr>
              <w:t>Organisation</w:t>
            </w:r>
          </w:p>
        </w:tc>
        <w:tc>
          <w:tcPr>
            <w:tcW w:type="dxa" w:w="2520"/>
            <w:shd w:fill="8567B7"/>
            <w:vAlign w:val="center"/>
          </w:tcPr>
          <w:p>
            <w:pPr>
              <w:jc w:val="center"/>
            </w:pPr>
            <w:r/>
            <w:r>
              <w:rPr>
                <w:b/>
                <w:color w:val="FFFFFF"/>
                <w:sz w:val="18"/>
              </w:rPr>
              <w:t>Période</w:t>
            </w:r>
          </w:p>
        </w:tc>
        <w:tc>
          <w:tcPr>
            <w:tcW w:type="dxa" w:w="2520"/>
            <w:shd w:fill="8567B7"/>
            <w:vAlign w:val="center"/>
          </w:tcPr>
          <w:p>
            <w:pPr>
              <w:jc w:val="center"/>
            </w:pPr>
            <w:r/>
            <w:r>
              <w:rPr>
                <w:b/>
                <w:color w:val="FFFFFF"/>
                <w:sz w:val="18"/>
              </w:rPr>
              <w:t>Pilote</w:t>
            </w:r>
          </w:p>
        </w:tc>
        <w:tc>
          <w:tcPr>
            <w:tcW w:type="dxa" w:w="2520"/>
            <w:shd w:fill="8567B7"/>
            <w:vAlign w:val="center"/>
          </w:tcPr>
          <w:p>
            <w:pPr>
              <w:jc w:val="center"/>
            </w:pPr>
            <w:r/>
            <w:r>
              <w:rPr>
                <w:b/>
                <w:color w:val="FFFFFF"/>
                <w:sz w:val="18"/>
              </w:rPr>
              <w:t>Version</w:t>
            </w:r>
          </w:p>
        </w:tc>
      </w:tr>
      <w:tr>
        <w:tc>
          <w:tcPr>
            <w:tcW w:type="dxa" w:w="2520"/>
            <w:shd w:fill="FFFFFF"/>
            <w:vAlign w:val="center"/>
          </w:tcPr>
          <w:p>
            <w:pPr>
              <w:jc w:val="center"/>
            </w:pPr>
            <w:r/>
            <w:r>
              <w:rPr>
                <w:b w:val="0"/>
                <w:color w:val="294A63"/>
                <w:sz w:val="17"/>
              </w:rPr>
              <w:t>Nova Conseil</w:t>
            </w:r>
          </w:p>
        </w:tc>
        <w:tc>
          <w:tcPr>
            <w:tcW w:type="dxa" w:w="2520"/>
            <w:shd w:fill="FFFFFF"/>
            <w:vAlign w:val="center"/>
          </w:tcPr>
          <w:p>
            <w:pPr>
              <w:jc w:val="center"/>
            </w:pPr>
            <w:r/>
            <w:r>
              <w:rPr>
                <w:b w:val="0"/>
                <w:color w:val="294A63"/>
                <w:sz w:val="17"/>
              </w:rPr>
              <w:t>Septembre-décembre 2026</w:t>
            </w:r>
          </w:p>
        </w:tc>
        <w:tc>
          <w:tcPr>
            <w:tcW w:type="dxa" w:w="2520"/>
            <w:shd w:fill="FFFFFF"/>
            <w:vAlign w:val="center"/>
          </w:tcPr>
          <w:p>
            <w:pPr>
              <w:jc w:val="center"/>
            </w:pPr>
            <w:r/>
            <w:r>
              <w:rPr>
                <w:b w:val="0"/>
                <w:color w:val="294A63"/>
                <w:sz w:val="17"/>
              </w:rPr>
              <w:t>Direction marketing</w:t>
            </w:r>
          </w:p>
        </w:tc>
        <w:tc>
          <w:tcPr>
            <w:tcW w:type="dxa" w:w="2520"/>
            <w:shd w:fill="FFFFFF"/>
            <w:vAlign w:val="center"/>
          </w:tcPr>
          <w:p>
            <w:pPr>
              <w:jc w:val="center"/>
            </w:pPr>
            <w:r/>
            <w:r>
              <w:rPr>
                <w:b w:val="0"/>
                <w:color w:val="294A63"/>
                <w:sz w:val="17"/>
              </w:rPr>
              <w:t>1.0</w:t>
            </w:r>
          </w:p>
        </w:tc>
      </w:tr>
    </w:tbl>
    <w:p/>
    <w:p>
      <w:pPr>
        <w:jc w:val="center"/>
      </w:pPr>
      <w:r>
        <w:rPr>
          <w:i/>
          <w:color w:val="8567B7"/>
        </w:rPr>
        <w:t>Document prérempli - exemples, décisions et zones de personnalisation</w:t>
      </w:r>
    </w:p>
    <w:p>
      <w:r>
        <w:br w:type="page"/>
      </w:r>
    </w:p>
    <w:p>
      <w:pPr>
        <w:pStyle w:val="Heading1"/>
        <w:jc w:val="center"/>
      </w:pPr>
      <w:r>
        <w:rPr>
          <w:color w:val="8567B7"/>
        </w:rPr>
        <w:t>1. Synthèse exécutive</w:t>
      </w:r>
    </w:p>
    <w:p>
      <w:pPr>
        <w:jc w:val="both"/>
      </w:pPr>
      <w:r>
        <w:t>Nova Conseil vise une croissance maîtrisée de ses demandes commerciales. Le dispositif digital actuel apporte de la visibilité, tandis que la conversion reste irrégulière et la preuve sectorielle demeure dispersée. La stratégie retient trois priorités : capter une demande qualifiée par le référencement, renforcer la crédibilité par des cas clients et réduire les frictions entre la lecture d’un contenu et la prise de rendez-vous.</w:t>
      </w:r>
    </w:p>
    <w:tbl>
      <w:tblPr>
        <w:tblW w:type="auto" w:w="0"/>
        <w:jc w:val="center"/>
        <w:tblLayout w:type="autofit"/>
        <w:tblLook w:firstColumn="1" w:firstRow="1" w:lastColumn="0" w:lastRow="0" w:noHBand="0" w:noVBand="1" w:val="04A0"/>
      </w:tblPr>
      <w:tblGrid>
        <w:gridCol w:w="2520"/>
        <w:gridCol w:w="2520"/>
        <w:gridCol w:w="2520"/>
        <w:gridCol w:w="2520"/>
      </w:tblGrid>
      <w:tr>
        <w:tc>
          <w:tcPr>
            <w:tcW w:type="dxa" w:w="2520"/>
            <w:shd w:fill="8567B7"/>
            <w:vAlign w:val="center"/>
          </w:tcPr>
          <w:p>
            <w:pPr>
              <w:jc w:val="center"/>
            </w:pPr>
            <w:r/>
            <w:r>
              <w:rPr>
                <w:b/>
                <w:color w:val="FFFFFF"/>
                <w:sz w:val="18"/>
              </w:rPr>
              <w:t>Ambition</w:t>
            </w:r>
          </w:p>
        </w:tc>
        <w:tc>
          <w:tcPr>
            <w:tcW w:type="dxa" w:w="2520"/>
            <w:shd w:fill="8567B7"/>
            <w:vAlign w:val="center"/>
          </w:tcPr>
          <w:p>
            <w:pPr>
              <w:jc w:val="center"/>
            </w:pPr>
            <w:r/>
            <w:r>
              <w:rPr>
                <w:b/>
                <w:color w:val="FFFFFF"/>
                <w:sz w:val="18"/>
              </w:rPr>
              <w:t>Situation initiale</w:t>
            </w:r>
          </w:p>
        </w:tc>
        <w:tc>
          <w:tcPr>
            <w:tcW w:type="dxa" w:w="2520"/>
            <w:shd w:fill="8567B7"/>
            <w:vAlign w:val="center"/>
          </w:tcPr>
          <w:p>
            <w:pPr>
              <w:jc w:val="center"/>
            </w:pPr>
            <w:r/>
            <w:r>
              <w:rPr>
                <w:b/>
                <w:color w:val="FFFFFF"/>
                <w:sz w:val="18"/>
              </w:rPr>
              <w:t>Cible à 9 mois</w:t>
            </w:r>
          </w:p>
        </w:tc>
        <w:tc>
          <w:tcPr>
            <w:tcW w:type="dxa" w:w="2520"/>
            <w:shd w:fill="8567B7"/>
            <w:vAlign w:val="center"/>
          </w:tcPr>
          <w:p>
            <w:pPr>
              <w:jc w:val="center"/>
            </w:pPr>
            <w:r/>
            <w:r>
              <w:rPr>
                <w:b/>
                <w:color w:val="FFFFFF"/>
                <w:sz w:val="18"/>
              </w:rPr>
              <w:t>Décision</w:t>
            </w:r>
          </w:p>
        </w:tc>
      </w:tr>
      <w:tr>
        <w:tc>
          <w:tcPr>
            <w:tcW w:type="dxa" w:w="2520"/>
            <w:shd w:fill="FFFFFF"/>
            <w:vAlign w:val="center"/>
          </w:tcPr>
          <w:p>
            <w:pPr>
              <w:jc w:val="center"/>
            </w:pPr>
            <w:r/>
            <w:r>
              <w:rPr>
                <w:b w:val="0"/>
                <w:color w:val="294A63"/>
                <w:sz w:val="17"/>
              </w:rPr>
              <w:t>Développer les contrats récurrents</w:t>
            </w:r>
          </w:p>
        </w:tc>
        <w:tc>
          <w:tcPr>
            <w:tcW w:type="dxa" w:w="2520"/>
            <w:shd w:fill="FFFFFF"/>
            <w:vAlign w:val="center"/>
          </w:tcPr>
          <w:p>
            <w:pPr>
              <w:jc w:val="center"/>
            </w:pPr>
            <w:r/>
            <w:r>
              <w:rPr>
                <w:b w:val="0"/>
                <w:color w:val="294A63"/>
                <w:sz w:val="17"/>
              </w:rPr>
              <w:t>36 leads/mois, conversion 3 %</w:t>
            </w:r>
          </w:p>
        </w:tc>
        <w:tc>
          <w:tcPr>
            <w:tcW w:type="dxa" w:w="2520"/>
            <w:shd w:fill="FFFFFF"/>
            <w:vAlign w:val="center"/>
          </w:tcPr>
          <w:p>
            <w:pPr>
              <w:jc w:val="center"/>
            </w:pPr>
            <w:r/>
            <w:r>
              <w:rPr>
                <w:b w:val="0"/>
                <w:color w:val="294A63"/>
                <w:sz w:val="17"/>
              </w:rPr>
              <w:t>60 leads/mois, conversion 4,2 %</w:t>
            </w:r>
          </w:p>
        </w:tc>
        <w:tc>
          <w:tcPr>
            <w:tcW w:type="dxa" w:w="2520"/>
            <w:shd w:fill="FFFFFF"/>
            <w:vAlign w:val="center"/>
          </w:tcPr>
          <w:p>
            <w:pPr>
              <w:jc w:val="center"/>
            </w:pPr>
            <w:r/>
            <w:r>
              <w:rPr>
                <w:b w:val="0"/>
                <w:color w:val="294A63"/>
                <w:sz w:val="17"/>
              </w:rPr>
              <w:t>Concentrer 70 % des moyens sur SEO, preuve et CRM</w:t>
            </w:r>
          </w:p>
        </w:tc>
      </w:tr>
    </w:tbl>
    <w:p/>
    <w:p>
      <w:pPr>
        <w:pStyle w:val="Heading1"/>
        <w:jc w:val="center"/>
      </w:pPr>
      <w:r>
        <w:rPr>
          <w:color w:val="8567B7"/>
        </w:rPr>
        <w:t>2. Diagnostic stratégique</w:t>
      </w:r>
    </w:p>
    <w:tbl>
      <w:tblPr>
        <w:tblW w:type="auto" w:w="0"/>
        <w:jc w:val="center"/>
        <w:tblLayout w:type="autofit"/>
        <w:tblLook w:firstColumn="1" w:firstRow="1" w:lastColumn="0" w:lastRow="0" w:noHBand="0" w:noVBand="1" w:val="04A0"/>
      </w:tblPr>
      <w:tblGrid>
        <w:gridCol w:w="2520"/>
        <w:gridCol w:w="2520"/>
        <w:gridCol w:w="2520"/>
        <w:gridCol w:w="2520"/>
      </w:tblGrid>
      <w:tr>
        <w:tc>
          <w:tcPr>
            <w:tcW w:type="dxa" w:w="2520"/>
            <w:shd w:fill="8567B7"/>
            <w:vAlign w:val="center"/>
          </w:tcPr>
          <w:p>
            <w:pPr>
              <w:jc w:val="center"/>
            </w:pPr>
            <w:r/>
            <w:r>
              <w:rPr>
                <w:b/>
                <w:color w:val="FFFFFF"/>
                <w:sz w:val="18"/>
              </w:rPr>
              <w:t>Dimension</w:t>
            </w:r>
          </w:p>
        </w:tc>
        <w:tc>
          <w:tcPr>
            <w:tcW w:type="dxa" w:w="2520"/>
            <w:shd w:fill="8567B7"/>
            <w:vAlign w:val="center"/>
          </w:tcPr>
          <w:p>
            <w:pPr>
              <w:jc w:val="center"/>
            </w:pPr>
            <w:r/>
            <w:r>
              <w:rPr>
                <w:b/>
                <w:color w:val="FFFFFF"/>
                <w:sz w:val="18"/>
              </w:rPr>
              <w:t>Constat renseigné</w:t>
            </w:r>
          </w:p>
        </w:tc>
        <w:tc>
          <w:tcPr>
            <w:tcW w:type="dxa" w:w="2520"/>
            <w:shd w:fill="8567B7"/>
            <w:vAlign w:val="center"/>
          </w:tcPr>
          <w:p>
            <w:pPr>
              <w:jc w:val="center"/>
            </w:pPr>
            <w:r/>
            <w:r>
              <w:rPr>
                <w:b/>
                <w:color w:val="FFFFFF"/>
                <w:sz w:val="18"/>
              </w:rPr>
              <w:t>Maturité /5</w:t>
            </w:r>
          </w:p>
        </w:tc>
        <w:tc>
          <w:tcPr>
            <w:tcW w:type="dxa" w:w="2520"/>
            <w:shd w:fill="8567B7"/>
            <w:vAlign w:val="center"/>
          </w:tcPr>
          <w:p>
            <w:pPr>
              <w:jc w:val="center"/>
            </w:pPr>
            <w:r/>
            <w:r>
              <w:rPr>
                <w:b/>
                <w:color w:val="FFFFFF"/>
                <w:sz w:val="18"/>
              </w:rPr>
              <w:t>Priorité</w:t>
            </w:r>
          </w:p>
        </w:tc>
      </w:tr>
      <w:tr>
        <w:tc>
          <w:tcPr>
            <w:tcW w:type="dxa" w:w="2520"/>
            <w:shd w:fill="FFFFFF"/>
            <w:vAlign w:val="center"/>
          </w:tcPr>
          <w:p>
            <w:pPr>
              <w:jc w:val="center"/>
            </w:pPr>
            <w:r/>
            <w:r>
              <w:rPr>
                <w:b w:val="0"/>
                <w:color w:val="294A63"/>
                <w:sz w:val="17"/>
              </w:rPr>
              <w:t>Positionnement</w:t>
            </w:r>
          </w:p>
        </w:tc>
        <w:tc>
          <w:tcPr>
            <w:tcW w:type="dxa" w:w="2520"/>
            <w:shd w:fill="FFFFFF"/>
            <w:vAlign w:val="center"/>
          </w:tcPr>
          <w:p>
            <w:pPr>
              <w:jc w:val="center"/>
            </w:pPr>
            <w:r/>
            <w:r>
              <w:rPr>
                <w:b w:val="0"/>
                <w:color w:val="294A63"/>
                <w:sz w:val="17"/>
              </w:rPr>
              <w:t>Offre compétente, promesse générique</w:t>
            </w:r>
          </w:p>
        </w:tc>
        <w:tc>
          <w:tcPr>
            <w:tcW w:type="dxa" w:w="2520"/>
            <w:shd w:fill="FFFFFF"/>
            <w:vAlign w:val="center"/>
          </w:tcPr>
          <w:p>
            <w:pPr>
              <w:jc w:val="center"/>
            </w:pPr>
            <w:r/>
            <w:r>
              <w:rPr>
                <w:b w:val="0"/>
                <w:color w:val="294A63"/>
                <w:sz w:val="17"/>
              </w:rPr>
              <w:t>2,5</w:t>
            </w:r>
          </w:p>
        </w:tc>
        <w:tc>
          <w:tcPr>
            <w:tcW w:type="dxa" w:w="2520"/>
            <w:shd w:fill="FFFFFF"/>
            <w:vAlign w:val="center"/>
          </w:tcPr>
          <w:p>
            <w:pPr>
              <w:jc w:val="center"/>
            </w:pPr>
            <w:r/>
            <w:r>
              <w:rPr>
                <w:b w:val="0"/>
                <w:color w:val="294A63"/>
                <w:sz w:val="17"/>
              </w:rPr>
              <w:t>Haute</w:t>
            </w:r>
          </w:p>
        </w:tc>
      </w:tr>
      <w:tr>
        <w:tc>
          <w:tcPr>
            <w:tcW w:type="dxa" w:w="2520"/>
            <w:shd w:fill="F5F9FC"/>
            <w:vAlign w:val="center"/>
          </w:tcPr>
          <w:p>
            <w:pPr>
              <w:jc w:val="center"/>
            </w:pPr>
            <w:r/>
            <w:r>
              <w:rPr>
                <w:b w:val="0"/>
                <w:color w:val="294A63"/>
                <w:sz w:val="17"/>
              </w:rPr>
              <w:t>SEO</w:t>
            </w:r>
          </w:p>
        </w:tc>
        <w:tc>
          <w:tcPr>
            <w:tcW w:type="dxa" w:w="2520"/>
            <w:shd w:fill="F5F9FC"/>
            <w:vAlign w:val="center"/>
          </w:tcPr>
          <w:p>
            <w:pPr>
              <w:jc w:val="center"/>
            </w:pPr>
            <w:r/>
            <w:r>
              <w:rPr>
                <w:b w:val="0"/>
                <w:color w:val="294A63"/>
                <w:sz w:val="17"/>
              </w:rPr>
              <w:t>Trafic en croissance, pages trop larges</w:t>
            </w:r>
          </w:p>
        </w:tc>
        <w:tc>
          <w:tcPr>
            <w:tcW w:type="dxa" w:w="2520"/>
            <w:shd w:fill="F5F9FC"/>
            <w:vAlign w:val="center"/>
          </w:tcPr>
          <w:p>
            <w:pPr>
              <w:jc w:val="center"/>
            </w:pPr>
            <w:r/>
            <w:r>
              <w:rPr>
                <w:b w:val="0"/>
                <w:color w:val="294A63"/>
                <w:sz w:val="17"/>
              </w:rPr>
              <w:t>3,0</w:t>
            </w:r>
          </w:p>
        </w:tc>
        <w:tc>
          <w:tcPr>
            <w:tcW w:type="dxa" w:w="2520"/>
            <w:shd w:fill="F5F9FC"/>
            <w:vAlign w:val="center"/>
          </w:tcPr>
          <w:p>
            <w:pPr>
              <w:jc w:val="center"/>
            </w:pPr>
            <w:r/>
            <w:r>
              <w:rPr>
                <w:b w:val="0"/>
                <w:color w:val="294A63"/>
                <w:sz w:val="17"/>
              </w:rPr>
              <w:t>Haute</w:t>
            </w:r>
          </w:p>
        </w:tc>
      </w:tr>
      <w:tr>
        <w:tc>
          <w:tcPr>
            <w:tcW w:type="dxa" w:w="2520"/>
            <w:shd w:fill="FFFFFF"/>
            <w:vAlign w:val="center"/>
          </w:tcPr>
          <w:p>
            <w:pPr>
              <w:jc w:val="center"/>
            </w:pPr>
            <w:r/>
            <w:r>
              <w:rPr>
                <w:b w:val="0"/>
                <w:color w:val="294A63"/>
                <w:sz w:val="17"/>
              </w:rPr>
              <w:t>Conversion</w:t>
            </w:r>
          </w:p>
        </w:tc>
        <w:tc>
          <w:tcPr>
            <w:tcW w:type="dxa" w:w="2520"/>
            <w:shd w:fill="FFFFFF"/>
            <w:vAlign w:val="center"/>
          </w:tcPr>
          <w:p>
            <w:pPr>
              <w:jc w:val="center"/>
            </w:pPr>
            <w:r/>
            <w:r>
              <w:rPr>
                <w:b w:val="0"/>
                <w:color w:val="294A63"/>
                <w:sz w:val="17"/>
              </w:rPr>
              <w:t>Formulaire long, CTA dispersés</w:t>
            </w:r>
          </w:p>
        </w:tc>
        <w:tc>
          <w:tcPr>
            <w:tcW w:type="dxa" w:w="2520"/>
            <w:shd w:fill="FFFFFF"/>
            <w:vAlign w:val="center"/>
          </w:tcPr>
          <w:p>
            <w:pPr>
              <w:jc w:val="center"/>
            </w:pPr>
            <w:r/>
            <w:r>
              <w:rPr>
                <w:b w:val="0"/>
                <w:color w:val="294A63"/>
                <w:sz w:val="17"/>
              </w:rPr>
              <w:t>2,0</w:t>
            </w:r>
          </w:p>
        </w:tc>
        <w:tc>
          <w:tcPr>
            <w:tcW w:type="dxa" w:w="2520"/>
            <w:shd w:fill="FFFFFF"/>
            <w:vAlign w:val="center"/>
          </w:tcPr>
          <w:p>
            <w:pPr>
              <w:jc w:val="center"/>
            </w:pPr>
            <w:r/>
            <w:r>
              <w:rPr>
                <w:b w:val="0"/>
                <w:color w:val="294A63"/>
                <w:sz w:val="17"/>
              </w:rPr>
              <w:t>Critique</w:t>
            </w:r>
          </w:p>
        </w:tc>
      </w:tr>
      <w:tr>
        <w:tc>
          <w:tcPr>
            <w:tcW w:type="dxa" w:w="2520"/>
            <w:shd w:fill="F5F9FC"/>
            <w:vAlign w:val="center"/>
          </w:tcPr>
          <w:p>
            <w:pPr>
              <w:jc w:val="center"/>
            </w:pPr>
            <w:r/>
            <w:r>
              <w:rPr>
                <w:b w:val="0"/>
                <w:color w:val="294A63"/>
                <w:sz w:val="17"/>
              </w:rPr>
              <w:t>Contenus</w:t>
            </w:r>
          </w:p>
        </w:tc>
        <w:tc>
          <w:tcPr>
            <w:tcW w:type="dxa" w:w="2520"/>
            <w:shd w:fill="F5F9FC"/>
            <w:vAlign w:val="center"/>
          </w:tcPr>
          <w:p>
            <w:pPr>
              <w:jc w:val="center"/>
            </w:pPr>
            <w:r/>
            <w:r>
              <w:rPr>
                <w:b w:val="0"/>
                <w:color w:val="294A63"/>
                <w:sz w:val="17"/>
              </w:rPr>
              <w:t>Expertise réelle, preuves insuffisantes</w:t>
            </w:r>
          </w:p>
        </w:tc>
        <w:tc>
          <w:tcPr>
            <w:tcW w:type="dxa" w:w="2520"/>
            <w:shd w:fill="F5F9FC"/>
            <w:vAlign w:val="center"/>
          </w:tcPr>
          <w:p>
            <w:pPr>
              <w:jc w:val="center"/>
            </w:pPr>
            <w:r/>
            <w:r>
              <w:rPr>
                <w:b w:val="0"/>
                <w:color w:val="294A63"/>
                <w:sz w:val="17"/>
              </w:rPr>
              <w:t>2,5</w:t>
            </w:r>
          </w:p>
        </w:tc>
        <w:tc>
          <w:tcPr>
            <w:tcW w:type="dxa" w:w="2520"/>
            <w:shd w:fill="F5F9FC"/>
            <w:vAlign w:val="center"/>
          </w:tcPr>
          <w:p>
            <w:pPr>
              <w:jc w:val="center"/>
            </w:pPr>
            <w:r/>
            <w:r>
              <w:rPr>
                <w:b w:val="0"/>
                <w:color w:val="294A63"/>
                <w:sz w:val="17"/>
              </w:rPr>
              <w:t>Haute</w:t>
            </w:r>
          </w:p>
        </w:tc>
      </w:tr>
      <w:tr>
        <w:tc>
          <w:tcPr>
            <w:tcW w:type="dxa" w:w="2520"/>
            <w:shd w:fill="FFFFFF"/>
            <w:vAlign w:val="center"/>
          </w:tcPr>
          <w:p>
            <w:pPr>
              <w:jc w:val="center"/>
            </w:pPr>
            <w:r/>
            <w:r>
              <w:rPr>
                <w:b w:val="0"/>
                <w:color w:val="294A63"/>
                <w:sz w:val="17"/>
              </w:rPr>
              <w:t>CRM</w:t>
            </w:r>
          </w:p>
        </w:tc>
        <w:tc>
          <w:tcPr>
            <w:tcW w:type="dxa" w:w="2520"/>
            <w:shd w:fill="FFFFFF"/>
            <w:vAlign w:val="center"/>
          </w:tcPr>
          <w:p>
            <w:pPr>
              <w:jc w:val="center"/>
            </w:pPr>
            <w:r/>
            <w:r>
              <w:rPr>
                <w:b w:val="0"/>
                <w:color w:val="294A63"/>
                <w:sz w:val="17"/>
              </w:rPr>
              <w:t>Base existante peu segmentée</w:t>
            </w:r>
          </w:p>
        </w:tc>
        <w:tc>
          <w:tcPr>
            <w:tcW w:type="dxa" w:w="2520"/>
            <w:shd w:fill="FFFFFF"/>
            <w:vAlign w:val="center"/>
          </w:tcPr>
          <w:p>
            <w:pPr>
              <w:jc w:val="center"/>
            </w:pPr>
            <w:r/>
            <w:r>
              <w:rPr>
                <w:b w:val="0"/>
                <w:color w:val="294A63"/>
                <w:sz w:val="17"/>
              </w:rPr>
              <w:t>2,0</w:t>
            </w:r>
          </w:p>
        </w:tc>
        <w:tc>
          <w:tcPr>
            <w:tcW w:type="dxa" w:w="2520"/>
            <w:shd w:fill="FFFFFF"/>
            <w:vAlign w:val="center"/>
          </w:tcPr>
          <w:p>
            <w:pPr>
              <w:jc w:val="center"/>
            </w:pPr>
            <w:r/>
            <w:r>
              <w:rPr>
                <w:b w:val="0"/>
                <w:color w:val="294A63"/>
                <w:sz w:val="17"/>
              </w:rPr>
              <w:t>Haute</w:t>
            </w:r>
          </w:p>
        </w:tc>
      </w:tr>
      <w:tr>
        <w:tc>
          <w:tcPr>
            <w:tcW w:type="dxa" w:w="2520"/>
            <w:shd w:fill="F5F9FC"/>
            <w:vAlign w:val="center"/>
          </w:tcPr>
          <w:p>
            <w:pPr>
              <w:jc w:val="center"/>
            </w:pPr>
            <w:r/>
            <w:r>
              <w:rPr>
                <w:b w:val="0"/>
                <w:color w:val="294A63"/>
                <w:sz w:val="17"/>
              </w:rPr>
              <w:t>Données</w:t>
            </w:r>
          </w:p>
        </w:tc>
        <w:tc>
          <w:tcPr>
            <w:tcW w:type="dxa" w:w="2520"/>
            <w:shd w:fill="F5F9FC"/>
            <w:vAlign w:val="center"/>
          </w:tcPr>
          <w:p>
            <w:pPr>
              <w:jc w:val="center"/>
            </w:pPr>
            <w:r/>
            <w:r>
              <w:rPr>
                <w:b w:val="0"/>
                <w:color w:val="294A63"/>
                <w:sz w:val="17"/>
              </w:rPr>
              <w:t>Trafic suivi, qualité commerciale non reliée</w:t>
            </w:r>
          </w:p>
        </w:tc>
        <w:tc>
          <w:tcPr>
            <w:tcW w:type="dxa" w:w="2520"/>
            <w:shd w:fill="F5F9FC"/>
            <w:vAlign w:val="center"/>
          </w:tcPr>
          <w:p>
            <w:pPr>
              <w:jc w:val="center"/>
            </w:pPr>
            <w:r/>
            <w:r>
              <w:rPr>
                <w:b w:val="0"/>
                <w:color w:val="294A63"/>
                <w:sz w:val="17"/>
              </w:rPr>
              <w:t>2,0</w:t>
            </w:r>
          </w:p>
        </w:tc>
        <w:tc>
          <w:tcPr>
            <w:tcW w:type="dxa" w:w="2520"/>
            <w:shd w:fill="F5F9FC"/>
            <w:vAlign w:val="center"/>
          </w:tcPr>
          <w:p>
            <w:pPr>
              <w:jc w:val="center"/>
            </w:pPr>
            <w:r/>
            <w:r>
              <w:rPr>
                <w:b w:val="0"/>
                <w:color w:val="294A63"/>
                <w:sz w:val="17"/>
              </w:rPr>
              <w:t>Critique</w:t>
            </w:r>
          </w:p>
        </w:tc>
      </w:tr>
    </w:tbl>
    <w:p/>
    <w:p>
      <w:pPr>
        <w:pStyle w:val="Heading1"/>
        <w:jc w:val="center"/>
      </w:pPr>
      <w:r>
        <w:rPr>
          <w:color w:val="8567B7"/>
        </w:rPr>
        <w:t>3. Objectifs SMART</w:t>
      </w:r>
    </w:p>
    <w:tbl>
      <w:tblPr>
        <w:tblW w:type="auto" w:w="0"/>
        <w:jc w:val="center"/>
        <w:tblLayout w:type="autofit"/>
        <w:tblLook w:firstColumn="1" w:firstRow="1" w:lastColumn="0" w:lastRow="0" w:noHBand="0" w:noVBand="1" w:val="04A0"/>
      </w:tblPr>
      <w:tblGrid>
        <w:gridCol w:w="1680"/>
        <w:gridCol w:w="1680"/>
        <w:gridCol w:w="1680"/>
        <w:gridCol w:w="1680"/>
        <w:gridCol w:w="1680"/>
        <w:gridCol w:w="1680"/>
      </w:tblGrid>
      <w:tr>
        <w:tc>
          <w:tcPr>
            <w:tcW w:type="dxa" w:w="1680"/>
            <w:shd w:fill="8567B7"/>
            <w:vAlign w:val="center"/>
          </w:tcPr>
          <w:p>
            <w:pPr>
              <w:jc w:val="center"/>
            </w:pPr>
            <w:r/>
            <w:r>
              <w:rPr>
                <w:b/>
                <w:color w:val="FFFFFF"/>
                <w:sz w:val="18"/>
              </w:rPr>
              <w:t>Objectif</w:t>
            </w:r>
          </w:p>
        </w:tc>
        <w:tc>
          <w:tcPr>
            <w:tcW w:type="dxa" w:w="1680"/>
            <w:shd w:fill="8567B7"/>
            <w:vAlign w:val="center"/>
          </w:tcPr>
          <w:p>
            <w:pPr>
              <w:jc w:val="center"/>
            </w:pPr>
            <w:r/>
            <w:r>
              <w:rPr>
                <w:b/>
                <w:color w:val="FFFFFF"/>
                <w:sz w:val="18"/>
              </w:rPr>
              <w:t>Indicateur</w:t>
            </w:r>
          </w:p>
        </w:tc>
        <w:tc>
          <w:tcPr>
            <w:tcW w:type="dxa" w:w="1680"/>
            <w:shd w:fill="8567B7"/>
            <w:vAlign w:val="center"/>
          </w:tcPr>
          <w:p>
            <w:pPr>
              <w:jc w:val="center"/>
            </w:pPr>
            <w:r/>
            <w:r>
              <w:rPr>
                <w:b/>
                <w:color w:val="FFFFFF"/>
                <w:sz w:val="18"/>
              </w:rPr>
              <w:t>Départ</w:t>
            </w:r>
          </w:p>
        </w:tc>
        <w:tc>
          <w:tcPr>
            <w:tcW w:type="dxa" w:w="1680"/>
            <w:shd w:fill="8567B7"/>
            <w:vAlign w:val="center"/>
          </w:tcPr>
          <w:p>
            <w:pPr>
              <w:jc w:val="center"/>
            </w:pPr>
            <w:r/>
            <w:r>
              <w:rPr>
                <w:b/>
                <w:color w:val="FFFFFF"/>
                <w:sz w:val="18"/>
              </w:rPr>
              <w:t>Cible</w:t>
            </w:r>
          </w:p>
        </w:tc>
        <w:tc>
          <w:tcPr>
            <w:tcW w:type="dxa" w:w="1680"/>
            <w:shd w:fill="8567B7"/>
            <w:vAlign w:val="center"/>
          </w:tcPr>
          <w:p>
            <w:pPr>
              <w:jc w:val="center"/>
            </w:pPr>
            <w:r/>
            <w:r>
              <w:rPr>
                <w:b/>
                <w:color w:val="FFFFFF"/>
                <w:sz w:val="18"/>
              </w:rPr>
              <w:t>Échéance</w:t>
            </w:r>
          </w:p>
        </w:tc>
        <w:tc>
          <w:tcPr>
            <w:tcW w:type="dxa" w:w="1680"/>
            <w:shd w:fill="8567B7"/>
            <w:vAlign w:val="center"/>
          </w:tcPr>
          <w:p>
            <w:pPr>
              <w:jc w:val="center"/>
            </w:pPr>
            <w:r/>
            <w:r>
              <w:rPr>
                <w:b/>
                <w:color w:val="FFFFFF"/>
                <w:sz w:val="18"/>
              </w:rPr>
              <w:t>Propriétaire</w:t>
            </w:r>
          </w:p>
        </w:tc>
      </w:tr>
      <w:tr>
        <w:tc>
          <w:tcPr>
            <w:tcW w:type="dxa" w:w="1680"/>
            <w:shd w:fill="FFFFFF"/>
            <w:vAlign w:val="center"/>
          </w:tcPr>
          <w:p>
            <w:pPr>
              <w:jc w:val="center"/>
            </w:pPr>
            <w:r/>
            <w:r>
              <w:rPr>
                <w:b w:val="0"/>
                <w:color w:val="294A63"/>
                <w:sz w:val="17"/>
              </w:rPr>
              <w:t>Générer des leads qualifiés</w:t>
            </w:r>
          </w:p>
        </w:tc>
        <w:tc>
          <w:tcPr>
            <w:tcW w:type="dxa" w:w="1680"/>
            <w:shd w:fill="FFFFFF"/>
            <w:vAlign w:val="center"/>
          </w:tcPr>
          <w:p>
            <w:pPr>
              <w:jc w:val="center"/>
            </w:pPr>
            <w:r/>
            <w:r>
              <w:rPr>
                <w:b w:val="0"/>
                <w:color w:val="294A63"/>
                <w:sz w:val="17"/>
              </w:rPr>
              <w:t>Leads acceptés par les ventes</w:t>
            </w:r>
          </w:p>
        </w:tc>
        <w:tc>
          <w:tcPr>
            <w:tcW w:type="dxa" w:w="1680"/>
            <w:shd w:fill="FFFFFF"/>
            <w:vAlign w:val="center"/>
          </w:tcPr>
          <w:p>
            <w:pPr>
              <w:jc w:val="center"/>
            </w:pPr>
            <w:r/>
            <w:r>
              <w:rPr>
                <w:b w:val="0"/>
                <w:color w:val="294A63"/>
                <w:sz w:val="17"/>
              </w:rPr>
              <w:t>36/mois</w:t>
            </w:r>
          </w:p>
        </w:tc>
        <w:tc>
          <w:tcPr>
            <w:tcW w:type="dxa" w:w="1680"/>
            <w:shd w:fill="FFFFFF"/>
            <w:vAlign w:val="center"/>
          </w:tcPr>
          <w:p>
            <w:pPr>
              <w:jc w:val="center"/>
            </w:pPr>
            <w:r/>
            <w:r>
              <w:rPr>
                <w:b w:val="0"/>
                <w:color w:val="294A63"/>
                <w:sz w:val="17"/>
              </w:rPr>
              <w:t>60/mois</w:t>
            </w:r>
          </w:p>
        </w:tc>
        <w:tc>
          <w:tcPr>
            <w:tcW w:type="dxa" w:w="1680"/>
            <w:shd w:fill="FFFFFF"/>
            <w:vAlign w:val="center"/>
          </w:tcPr>
          <w:p>
            <w:pPr>
              <w:jc w:val="center"/>
            </w:pPr>
            <w:r/>
            <w:r>
              <w:rPr>
                <w:b w:val="0"/>
                <w:color w:val="294A63"/>
                <w:sz w:val="17"/>
              </w:rPr>
              <w:t>31/05/2027</w:t>
            </w:r>
          </w:p>
        </w:tc>
        <w:tc>
          <w:tcPr>
            <w:tcW w:type="dxa" w:w="1680"/>
            <w:shd w:fill="FFFFFF"/>
            <w:vAlign w:val="center"/>
          </w:tcPr>
          <w:p>
            <w:pPr>
              <w:jc w:val="center"/>
            </w:pPr>
            <w:r/>
            <w:r>
              <w:rPr>
                <w:b w:val="0"/>
                <w:color w:val="294A63"/>
                <w:sz w:val="17"/>
              </w:rPr>
              <w:t>Marketing</w:t>
            </w:r>
          </w:p>
        </w:tc>
      </w:tr>
      <w:tr>
        <w:tc>
          <w:tcPr>
            <w:tcW w:type="dxa" w:w="1680"/>
            <w:shd w:fill="F5F9FC"/>
            <w:vAlign w:val="center"/>
          </w:tcPr>
          <w:p>
            <w:pPr>
              <w:jc w:val="center"/>
            </w:pPr>
            <w:r/>
            <w:r>
              <w:rPr>
                <w:b w:val="0"/>
                <w:color w:val="294A63"/>
                <w:sz w:val="17"/>
              </w:rPr>
              <w:t>Améliorer la conversion</w:t>
            </w:r>
          </w:p>
        </w:tc>
        <w:tc>
          <w:tcPr>
            <w:tcW w:type="dxa" w:w="1680"/>
            <w:shd w:fill="F5F9FC"/>
            <w:vAlign w:val="center"/>
          </w:tcPr>
          <w:p>
            <w:pPr>
              <w:jc w:val="center"/>
            </w:pPr>
            <w:r/>
            <w:r>
              <w:rPr>
                <w:b w:val="0"/>
                <w:color w:val="294A63"/>
                <w:sz w:val="17"/>
              </w:rPr>
              <w:t>Demandes / visites qualifiées</w:t>
            </w:r>
          </w:p>
        </w:tc>
        <w:tc>
          <w:tcPr>
            <w:tcW w:type="dxa" w:w="1680"/>
            <w:shd w:fill="F5F9FC"/>
            <w:vAlign w:val="center"/>
          </w:tcPr>
          <w:p>
            <w:pPr>
              <w:jc w:val="center"/>
            </w:pPr>
            <w:r/>
            <w:r>
              <w:rPr>
                <w:b w:val="0"/>
                <w:color w:val="294A63"/>
                <w:sz w:val="17"/>
              </w:rPr>
              <w:t>3,0 %</w:t>
            </w:r>
          </w:p>
        </w:tc>
        <w:tc>
          <w:tcPr>
            <w:tcW w:type="dxa" w:w="1680"/>
            <w:shd w:fill="F5F9FC"/>
            <w:vAlign w:val="center"/>
          </w:tcPr>
          <w:p>
            <w:pPr>
              <w:jc w:val="center"/>
            </w:pPr>
            <w:r/>
            <w:r>
              <w:rPr>
                <w:b w:val="0"/>
                <w:color w:val="294A63"/>
                <w:sz w:val="17"/>
              </w:rPr>
              <w:t>4,2 %</w:t>
            </w:r>
          </w:p>
        </w:tc>
        <w:tc>
          <w:tcPr>
            <w:tcW w:type="dxa" w:w="1680"/>
            <w:shd w:fill="F5F9FC"/>
            <w:vAlign w:val="center"/>
          </w:tcPr>
          <w:p>
            <w:pPr>
              <w:jc w:val="center"/>
            </w:pPr>
            <w:r/>
            <w:r>
              <w:rPr>
                <w:b w:val="0"/>
                <w:color w:val="294A63"/>
                <w:sz w:val="17"/>
              </w:rPr>
              <w:t>30/11/2026</w:t>
            </w:r>
          </w:p>
        </w:tc>
        <w:tc>
          <w:tcPr>
            <w:tcW w:type="dxa" w:w="1680"/>
            <w:shd w:fill="F5F9FC"/>
            <w:vAlign w:val="center"/>
          </w:tcPr>
          <w:p>
            <w:pPr>
              <w:jc w:val="center"/>
            </w:pPr>
            <w:r/>
            <w:r>
              <w:rPr>
                <w:b w:val="0"/>
                <w:color w:val="294A63"/>
                <w:sz w:val="17"/>
              </w:rPr>
              <w:t>Web</w:t>
            </w:r>
          </w:p>
        </w:tc>
      </w:tr>
      <w:tr>
        <w:tc>
          <w:tcPr>
            <w:tcW w:type="dxa" w:w="1680"/>
            <w:shd w:fill="FFFFFF"/>
            <w:vAlign w:val="center"/>
          </w:tcPr>
          <w:p>
            <w:pPr>
              <w:jc w:val="center"/>
            </w:pPr>
            <w:r/>
            <w:r>
              <w:rPr>
                <w:b w:val="0"/>
                <w:color w:val="294A63"/>
                <w:sz w:val="17"/>
              </w:rPr>
              <w:t>Créer de la récurrence</w:t>
            </w:r>
          </w:p>
        </w:tc>
        <w:tc>
          <w:tcPr>
            <w:tcW w:type="dxa" w:w="1680"/>
            <w:shd w:fill="FFFFFF"/>
            <w:vAlign w:val="center"/>
          </w:tcPr>
          <w:p>
            <w:pPr>
              <w:jc w:val="center"/>
            </w:pPr>
            <w:r/>
            <w:r>
              <w:rPr>
                <w:b w:val="0"/>
                <w:color w:val="294A63"/>
                <w:sz w:val="17"/>
              </w:rPr>
              <w:t>Taux de réachat</w:t>
            </w:r>
          </w:p>
        </w:tc>
        <w:tc>
          <w:tcPr>
            <w:tcW w:type="dxa" w:w="1680"/>
            <w:shd w:fill="FFFFFF"/>
            <w:vAlign w:val="center"/>
          </w:tcPr>
          <w:p>
            <w:pPr>
              <w:jc w:val="center"/>
            </w:pPr>
            <w:r/>
            <w:r>
              <w:rPr>
                <w:b w:val="0"/>
                <w:color w:val="294A63"/>
                <w:sz w:val="17"/>
              </w:rPr>
              <w:t>12 %</w:t>
            </w:r>
          </w:p>
        </w:tc>
        <w:tc>
          <w:tcPr>
            <w:tcW w:type="dxa" w:w="1680"/>
            <w:shd w:fill="FFFFFF"/>
            <w:vAlign w:val="center"/>
          </w:tcPr>
          <w:p>
            <w:pPr>
              <w:jc w:val="center"/>
            </w:pPr>
            <w:r/>
            <w:r>
              <w:rPr>
                <w:b w:val="0"/>
                <w:color w:val="294A63"/>
                <w:sz w:val="17"/>
              </w:rPr>
              <w:t>20 %</w:t>
            </w:r>
          </w:p>
        </w:tc>
        <w:tc>
          <w:tcPr>
            <w:tcW w:type="dxa" w:w="1680"/>
            <w:shd w:fill="FFFFFF"/>
            <w:vAlign w:val="center"/>
          </w:tcPr>
          <w:p>
            <w:pPr>
              <w:jc w:val="center"/>
            </w:pPr>
            <w:r/>
            <w:r>
              <w:rPr>
                <w:b w:val="0"/>
                <w:color w:val="294A63"/>
                <w:sz w:val="17"/>
              </w:rPr>
              <w:t>31/03/2027</w:t>
            </w:r>
          </w:p>
        </w:tc>
        <w:tc>
          <w:tcPr>
            <w:tcW w:type="dxa" w:w="1680"/>
            <w:shd w:fill="FFFFFF"/>
            <w:vAlign w:val="center"/>
          </w:tcPr>
          <w:p>
            <w:pPr>
              <w:jc w:val="center"/>
            </w:pPr>
            <w:r/>
            <w:r>
              <w:rPr>
                <w:b w:val="0"/>
                <w:color w:val="294A63"/>
                <w:sz w:val="17"/>
              </w:rPr>
              <w:t>CRM</w:t>
            </w:r>
          </w:p>
        </w:tc>
      </w:tr>
    </w:tbl>
    <w:p/>
    <w:p>
      <w:pPr>
        <w:pStyle w:val="Heading1"/>
        <w:jc w:val="center"/>
      </w:pPr>
      <w:r>
        <w:rPr>
          <w:color w:val="8567B7"/>
        </w:rPr>
        <w:t>4. Publics, promesse et preuves</w:t>
      </w:r>
    </w:p>
    <w:p>
      <w:pPr>
        <w:jc w:val="both"/>
      </w:pPr>
      <w:r>
        <w:t>Le public prioritaire regroupe les dirigeants et responsables marketing de PME de 20 à 150 salariés. Leur attente porte sur une démarche lisible, un accompagnement mesurable et des résultats documentés. La promesse retenue affirme : « un plan digital relié aux ventes, piloté par des indicateurs compréhensibles et révisé tous les 90 jours ».</w:t>
      </w:r>
    </w:p>
    <w:tbl>
      <w:tblPr>
        <w:tblW w:type="auto" w:w="0"/>
        <w:jc w:val="center"/>
        <w:tblLayout w:type="autofit"/>
        <w:tblLook w:firstColumn="1" w:firstRow="1" w:lastColumn="0" w:lastRow="0" w:noHBand="0" w:noVBand="1" w:val="04A0"/>
      </w:tblPr>
      <w:tblGrid>
        <w:gridCol w:w="2520"/>
        <w:gridCol w:w="2520"/>
        <w:gridCol w:w="2520"/>
        <w:gridCol w:w="2520"/>
      </w:tblGrid>
      <w:tr>
        <w:tc>
          <w:tcPr>
            <w:tcW w:type="dxa" w:w="2520"/>
            <w:shd w:fill="8567B7"/>
            <w:vAlign w:val="center"/>
          </w:tcPr>
          <w:p>
            <w:pPr>
              <w:jc w:val="center"/>
            </w:pPr>
            <w:r/>
            <w:r>
              <w:rPr>
                <w:b/>
                <w:color w:val="FFFFFF"/>
                <w:sz w:val="18"/>
              </w:rPr>
              <w:t>Frein du décideur</w:t>
            </w:r>
          </w:p>
        </w:tc>
        <w:tc>
          <w:tcPr>
            <w:tcW w:type="dxa" w:w="2520"/>
            <w:shd w:fill="8567B7"/>
            <w:vAlign w:val="center"/>
          </w:tcPr>
          <w:p>
            <w:pPr>
              <w:jc w:val="center"/>
            </w:pPr>
            <w:r/>
            <w:r>
              <w:rPr>
                <w:b/>
                <w:color w:val="FFFFFF"/>
                <w:sz w:val="18"/>
              </w:rPr>
              <w:t>Réponse éditoriale</w:t>
            </w:r>
          </w:p>
        </w:tc>
        <w:tc>
          <w:tcPr>
            <w:tcW w:type="dxa" w:w="2520"/>
            <w:shd w:fill="8567B7"/>
            <w:vAlign w:val="center"/>
          </w:tcPr>
          <w:p>
            <w:pPr>
              <w:jc w:val="center"/>
            </w:pPr>
            <w:r/>
            <w:r>
              <w:rPr>
                <w:b/>
                <w:color w:val="FFFFFF"/>
                <w:sz w:val="18"/>
              </w:rPr>
              <w:t>Preuve attendue</w:t>
            </w:r>
          </w:p>
        </w:tc>
        <w:tc>
          <w:tcPr>
            <w:tcW w:type="dxa" w:w="2520"/>
            <w:shd w:fill="8567B7"/>
            <w:vAlign w:val="center"/>
          </w:tcPr>
          <w:p>
            <w:pPr>
              <w:jc w:val="center"/>
            </w:pPr>
            <w:r/>
            <w:r>
              <w:rPr>
                <w:b/>
                <w:color w:val="FFFFFF"/>
                <w:sz w:val="18"/>
              </w:rPr>
              <w:t>CTA</w:t>
            </w:r>
          </w:p>
        </w:tc>
      </w:tr>
      <w:tr>
        <w:tc>
          <w:tcPr>
            <w:tcW w:type="dxa" w:w="2520"/>
            <w:shd w:fill="FFFFFF"/>
            <w:vAlign w:val="center"/>
          </w:tcPr>
          <w:p>
            <w:pPr>
              <w:jc w:val="center"/>
            </w:pPr>
            <w:r/>
            <w:r>
              <w:rPr>
                <w:b w:val="0"/>
                <w:color w:val="294A63"/>
                <w:sz w:val="17"/>
              </w:rPr>
              <w:t>Crainte d’un budget diffus</w:t>
            </w:r>
          </w:p>
        </w:tc>
        <w:tc>
          <w:tcPr>
            <w:tcW w:type="dxa" w:w="2520"/>
            <w:shd w:fill="FFFFFF"/>
            <w:vAlign w:val="center"/>
          </w:tcPr>
          <w:p>
            <w:pPr>
              <w:jc w:val="center"/>
            </w:pPr>
            <w:r/>
            <w:r>
              <w:rPr>
                <w:b w:val="0"/>
                <w:color w:val="294A63"/>
                <w:sz w:val="17"/>
              </w:rPr>
              <w:t>Budget par canal et seuils d’arrêt</w:t>
            </w:r>
          </w:p>
        </w:tc>
        <w:tc>
          <w:tcPr>
            <w:tcW w:type="dxa" w:w="2520"/>
            <w:shd w:fill="FFFFFF"/>
            <w:vAlign w:val="center"/>
          </w:tcPr>
          <w:p>
            <w:pPr>
              <w:jc w:val="center"/>
            </w:pPr>
            <w:r/>
            <w:r>
              <w:rPr>
                <w:b w:val="0"/>
                <w:color w:val="294A63"/>
                <w:sz w:val="17"/>
              </w:rPr>
              <w:t>Exemple chiffré</w:t>
            </w:r>
          </w:p>
        </w:tc>
        <w:tc>
          <w:tcPr>
            <w:tcW w:type="dxa" w:w="2520"/>
            <w:shd w:fill="FFFFFF"/>
            <w:vAlign w:val="center"/>
          </w:tcPr>
          <w:p>
            <w:pPr>
              <w:jc w:val="center"/>
            </w:pPr>
            <w:r/>
            <w:r>
              <w:rPr>
                <w:b w:val="0"/>
                <w:color w:val="294A63"/>
                <w:sz w:val="17"/>
              </w:rPr>
              <w:t>Tester le simulateur</w:t>
            </w:r>
          </w:p>
        </w:tc>
      </w:tr>
      <w:tr>
        <w:tc>
          <w:tcPr>
            <w:tcW w:type="dxa" w:w="2520"/>
            <w:shd w:fill="F5F9FC"/>
            <w:vAlign w:val="center"/>
          </w:tcPr>
          <w:p>
            <w:pPr>
              <w:jc w:val="center"/>
            </w:pPr>
            <w:r/>
            <w:r>
              <w:rPr>
                <w:b w:val="0"/>
                <w:color w:val="294A63"/>
                <w:sz w:val="17"/>
              </w:rPr>
              <w:t>Doute sur la capacité d’exécution</w:t>
            </w:r>
          </w:p>
        </w:tc>
        <w:tc>
          <w:tcPr>
            <w:tcW w:type="dxa" w:w="2520"/>
            <w:shd w:fill="F5F9FC"/>
            <w:vAlign w:val="center"/>
          </w:tcPr>
          <w:p>
            <w:pPr>
              <w:jc w:val="center"/>
            </w:pPr>
            <w:r/>
            <w:r>
              <w:rPr>
                <w:b w:val="0"/>
                <w:color w:val="294A63"/>
                <w:sz w:val="17"/>
              </w:rPr>
              <w:t>Plan à 90 jours et responsabilités</w:t>
            </w:r>
          </w:p>
        </w:tc>
        <w:tc>
          <w:tcPr>
            <w:tcW w:type="dxa" w:w="2520"/>
            <w:shd w:fill="F5F9FC"/>
            <w:vAlign w:val="center"/>
          </w:tcPr>
          <w:p>
            <w:pPr>
              <w:jc w:val="center"/>
            </w:pPr>
            <w:r/>
            <w:r>
              <w:rPr>
                <w:b w:val="0"/>
                <w:color w:val="294A63"/>
                <w:sz w:val="17"/>
              </w:rPr>
              <w:t>Calendrier réel</w:t>
            </w:r>
          </w:p>
        </w:tc>
        <w:tc>
          <w:tcPr>
            <w:tcW w:type="dxa" w:w="2520"/>
            <w:shd w:fill="F5F9FC"/>
            <w:vAlign w:val="center"/>
          </w:tcPr>
          <w:p>
            <w:pPr>
              <w:jc w:val="center"/>
            </w:pPr>
            <w:r/>
            <w:r>
              <w:rPr>
                <w:b w:val="0"/>
                <w:color w:val="294A63"/>
                <w:sz w:val="17"/>
              </w:rPr>
              <w:t>Voir le plan</w:t>
            </w:r>
          </w:p>
        </w:tc>
      </w:tr>
      <w:tr>
        <w:tc>
          <w:tcPr>
            <w:tcW w:type="dxa" w:w="2520"/>
            <w:shd w:fill="FFFFFF"/>
            <w:vAlign w:val="center"/>
          </w:tcPr>
          <w:p>
            <w:pPr>
              <w:jc w:val="center"/>
            </w:pPr>
            <w:r/>
            <w:r>
              <w:rPr>
                <w:b w:val="0"/>
                <w:color w:val="294A63"/>
                <w:sz w:val="17"/>
              </w:rPr>
              <w:t>Manque de confiance</w:t>
            </w:r>
          </w:p>
        </w:tc>
        <w:tc>
          <w:tcPr>
            <w:tcW w:type="dxa" w:w="2520"/>
            <w:shd w:fill="FFFFFF"/>
            <w:vAlign w:val="center"/>
          </w:tcPr>
          <w:p>
            <w:pPr>
              <w:jc w:val="center"/>
            </w:pPr>
            <w:r/>
            <w:r>
              <w:rPr>
                <w:b w:val="0"/>
                <w:color w:val="294A63"/>
                <w:sz w:val="17"/>
              </w:rPr>
              <w:t>Cas sectoriel complet</w:t>
            </w:r>
          </w:p>
        </w:tc>
        <w:tc>
          <w:tcPr>
            <w:tcW w:type="dxa" w:w="2520"/>
            <w:shd w:fill="FFFFFF"/>
            <w:vAlign w:val="center"/>
          </w:tcPr>
          <w:p>
            <w:pPr>
              <w:jc w:val="center"/>
            </w:pPr>
            <w:r/>
            <w:r>
              <w:rPr>
                <w:b w:val="0"/>
                <w:color w:val="294A63"/>
                <w:sz w:val="17"/>
              </w:rPr>
              <w:t>Avant/après et témoignage</w:t>
            </w:r>
          </w:p>
        </w:tc>
        <w:tc>
          <w:tcPr>
            <w:tcW w:type="dxa" w:w="2520"/>
            <w:shd w:fill="FFFFFF"/>
            <w:vAlign w:val="center"/>
          </w:tcPr>
          <w:p>
            <w:pPr>
              <w:jc w:val="center"/>
            </w:pPr>
            <w:r/>
            <w:r>
              <w:rPr>
                <w:b w:val="0"/>
                <w:color w:val="294A63"/>
                <w:sz w:val="17"/>
              </w:rPr>
              <w:t>Demander un diagnostic</w:t>
            </w:r>
          </w:p>
        </w:tc>
      </w:tr>
    </w:tbl>
    <w:p/>
    <w:p>
      <w:pPr>
        <w:pStyle w:val="Heading1"/>
        <w:jc w:val="center"/>
      </w:pPr>
      <w:r>
        <w:rPr>
          <w:color w:val="8567B7"/>
        </w:rPr>
        <w:t>5. Parcours et rôle des canaux</w:t>
      </w:r>
    </w:p>
    <w:tbl>
      <w:tblPr>
        <w:tblW w:type="auto" w:w="0"/>
        <w:jc w:val="center"/>
        <w:tblLayout w:type="autofit"/>
        <w:tblLook w:firstColumn="1" w:firstRow="1" w:lastColumn="0" w:lastRow="0" w:noHBand="0" w:noVBand="1" w:val="04A0"/>
      </w:tblPr>
      <w:tblGrid>
        <w:gridCol w:w="2016"/>
        <w:gridCol w:w="2016"/>
        <w:gridCol w:w="2016"/>
        <w:gridCol w:w="2016"/>
        <w:gridCol w:w="2016"/>
      </w:tblGrid>
      <w:tr>
        <w:tc>
          <w:tcPr>
            <w:tcW w:type="dxa" w:w="2016"/>
            <w:shd w:fill="8567B7"/>
            <w:vAlign w:val="center"/>
          </w:tcPr>
          <w:p>
            <w:pPr>
              <w:jc w:val="center"/>
            </w:pPr>
            <w:r/>
            <w:r>
              <w:rPr>
                <w:b/>
                <w:color w:val="FFFFFF"/>
                <w:sz w:val="18"/>
              </w:rPr>
              <w:t>Étape</w:t>
            </w:r>
          </w:p>
        </w:tc>
        <w:tc>
          <w:tcPr>
            <w:tcW w:type="dxa" w:w="2016"/>
            <w:shd w:fill="8567B7"/>
            <w:vAlign w:val="center"/>
          </w:tcPr>
          <w:p>
            <w:pPr>
              <w:jc w:val="center"/>
            </w:pPr>
            <w:r/>
            <w:r>
              <w:rPr>
                <w:b/>
                <w:color w:val="FFFFFF"/>
                <w:sz w:val="18"/>
              </w:rPr>
              <w:t>Question du prospect</w:t>
            </w:r>
          </w:p>
        </w:tc>
        <w:tc>
          <w:tcPr>
            <w:tcW w:type="dxa" w:w="2016"/>
            <w:shd w:fill="8567B7"/>
            <w:vAlign w:val="center"/>
          </w:tcPr>
          <w:p>
            <w:pPr>
              <w:jc w:val="center"/>
            </w:pPr>
            <w:r/>
            <w:r>
              <w:rPr>
                <w:b/>
                <w:color w:val="FFFFFF"/>
                <w:sz w:val="18"/>
              </w:rPr>
              <w:t>Actif principal</w:t>
            </w:r>
          </w:p>
        </w:tc>
        <w:tc>
          <w:tcPr>
            <w:tcW w:type="dxa" w:w="2016"/>
            <w:shd w:fill="8567B7"/>
            <w:vAlign w:val="center"/>
          </w:tcPr>
          <w:p>
            <w:pPr>
              <w:jc w:val="center"/>
            </w:pPr>
            <w:r/>
            <w:r>
              <w:rPr>
                <w:b/>
                <w:color w:val="FFFFFF"/>
                <w:sz w:val="18"/>
              </w:rPr>
              <w:t>Canal</w:t>
            </w:r>
          </w:p>
        </w:tc>
        <w:tc>
          <w:tcPr>
            <w:tcW w:type="dxa" w:w="2016"/>
            <w:shd w:fill="8567B7"/>
            <w:vAlign w:val="center"/>
          </w:tcPr>
          <w:p>
            <w:pPr>
              <w:jc w:val="center"/>
            </w:pPr>
            <w:r/>
            <w:r>
              <w:rPr>
                <w:b/>
                <w:color w:val="FFFFFF"/>
                <w:sz w:val="18"/>
              </w:rPr>
              <w:t>KPI</w:t>
            </w:r>
          </w:p>
        </w:tc>
      </w:tr>
      <w:tr>
        <w:tc>
          <w:tcPr>
            <w:tcW w:type="dxa" w:w="2016"/>
            <w:shd w:fill="FFFFFF"/>
            <w:vAlign w:val="center"/>
          </w:tcPr>
          <w:p>
            <w:pPr>
              <w:jc w:val="center"/>
            </w:pPr>
            <w:r/>
            <w:r>
              <w:rPr>
                <w:b w:val="0"/>
                <w:color w:val="294A63"/>
                <w:sz w:val="17"/>
              </w:rPr>
              <w:t>Découverte</w:t>
            </w:r>
          </w:p>
        </w:tc>
        <w:tc>
          <w:tcPr>
            <w:tcW w:type="dxa" w:w="2016"/>
            <w:shd w:fill="FFFFFF"/>
            <w:vAlign w:val="center"/>
          </w:tcPr>
          <w:p>
            <w:pPr>
              <w:jc w:val="center"/>
            </w:pPr>
            <w:r/>
            <w:r>
              <w:rPr>
                <w:b w:val="0"/>
                <w:color w:val="294A63"/>
                <w:sz w:val="17"/>
              </w:rPr>
              <w:t>Comment structurer ma stratégie ?</w:t>
            </w:r>
          </w:p>
        </w:tc>
        <w:tc>
          <w:tcPr>
            <w:tcW w:type="dxa" w:w="2016"/>
            <w:shd w:fill="FFFFFF"/>
            <w:vAlign w:val="center"/>
          </w:tcPr>
          <w:p>
            <w:pPr>
              <w:jc w:val="center"/>
            </w:pPr>
            <w:r/>
            <w:r>
              <w:rPr>
                <w:b w:val="0"/>
                <w:color w:val="294A63"/>
                <w:sz w:val="17"/>
              </w:rPr>
              <w:t>Guide de référence</w:t>
            </w:r>
          </w:p>
        </w:tc>
        <w:tc>
          <w:tcPr>
            <w:tcW w:type="dxa" w:w="2016"/>
            <w:shd w:fill="FFFFFF"/>
            <w:vAlign w:val="center"/>
          </w:tcPr>
          <w:p>
            <w:pPr>
              <w:jc w:val="center"/>
            </w:pPr>
            <w:r/>
            <w:r>
              <w:rPr>
                <w:b w:val="0"/>
                <w:color w:val="294A63"/>
                <w:sz w:val="17"/>
              </w:rPr>
              <w:t>SEO / LinkedIn</w:t>
            </w:r>
          </w:p>
        </w:tc>
        <w:tc>
          <w:tcPr>
            <w:tcW w:type="dxa" w:w="2016"/>
            <w:shd w:fill="FFFFFF"/>
            <w:vAlign w:val="center"/>
          </w:tcPr>
          <w:p>
            <w:pPr>
              <w:jc w:val="center"/>
            </w:pPr>
            <w:r/>
            <w:r>
              <w:rPr>
                <w:b w:val="0"/>
                <w:color w:val="294A63"/>
                <w:sz w:val="17"/>
              </w:rPr>
              <w:t>Trafic qualifié</w:t>
            </w:r>
          </w:p>
        </w:tc>
      </w:tr>
      <w:tr>
        <w:tc>
          <w:tcPr>
            <w:tcW w:type="dxa" w:w="2016"/>
            <w:shd w:fill="F5F9FC"/>
            <w:vAlign w:val="center"/>
          </w:tcPr>
          <w:p>
            <w:pPr>
              <w:jc w:val="center"/>
            </w:pPr>
            <w:r/>
            <w:r>
              <w:rPr>
                <w:b w:val="0"/>
                <w:color w:val="294A63"/>
                <w:sz w:val="17"/>
              </w:rPr>
              <w:t>Considération</w:t>
            </w:r>
          </w:p>
        </w:tc>
        <w:tc>
          <w:tcPr>
            <w:tcW w:type="dxa" w:w="2016"/>
            <w:shd w:fill="F5F9FC"/>
            <w:vAlign w:val="center"/>
          </w:tcPr>
          <w:p>
            <w:pPr>
              <w:jc w:val="center"/>
            </w:pPr>
            <w:r/>
            <w:r>
              <w:rPr>
                <w:b w:val="0"/>
                <w:color w:val="294A63"/>
                <w:sz w:val="17"/>
              </w:rPr>
              <w:t>Cette méthode correspond-elle à mon entreprise ?</w:t>
            </w:r>
          </w:p>
        </w:tc>
        <w:tc>
          <w:tcPr>
            <w:tcW w:type="dxa" w:w="2016"/>
            <w:shd w:fill="F5F9FC"/>
            <w:vAlign w:val="center"/>
          </w:tcPr>
          <w:p>
            <w:pPr>
              <w:jc w:val="center"/>
            </w:pPr>
            <w:r/>
            <w:r>
              <w:rPr>
                <w:b w:val="0"/>
                <w:color w:val="294A63"/>
                <w:sz w:val="17"/>
              </w:rPr>
              <w:t>Cas client sectoriel</w:t>
            </w:r>
          </w:p>
        </w:tc>
        <w:tc>
          <w:tcPr>
            <w:tcW w:type="dxa" w:w="2016"/>
            <w:shd w:fill="F5F9FC"/>
            <w:vAlign w:val="center"/>
          </w:tcPr>
          <w:p>
            <w:pPr>
              <w:jc w:val="center"/>
            </w:pPr>
            <w:r/>
            <w:r>
              <w:rPr>
                <w:b w:val="0"/>
                <w:color w:val="294A63"/>
                <w:sz w:val="17"/>
              </w:rPr>
              <w:t>Site / e-mail</w:t>
            </w:r>
          </w:p>
        </w:tc>
        <w:tc>
          <w:tcPr>
            <w:tcW w:type="dxa" w:w="2016"/>
            <w:shd w:fill="F5F9FC"/>
            <w:vAlign w:val="center"/>
          </w:tcPr>
          <w:p>
            <w:pPr>
              <w:jc w:val="center"/>
            </w:pPr>
            <w:r/>
            <w:r>
              <w:rPr>
                <w:b w:val="0"/>
                <w:color w:val="294A63"/>
                <w:sz w:val="17"/>
              </w:rPr>
              <w:t>Lecture du cas</w:t>
            </w:r>
          </w:p>
        </w:tc>
      </w:tr>
      <w:tr>
        <w:tc>
          <w:tcPr>
            <w:tcW w:type="dxa" w:w="2016"/>
            <w:shd w:fill="FFFFFF"/>
            <w:vAlign w:val="center"/>
          </w:tcPr>
          <w:p>
            <w:pPr>
              <w:jc w:val="center"/>
            </w:pPr>
            <w:r/>
            <w:r>
              <w:rPr>
                <w:b w:val="0"/>
                <w:color w:val="294A63"/>
                <w:sz w:val="17"/>
              </w:rPr>
              <w:t>Décision</w:t>
            </w:r>
          </w:p>
        </w:tc>
        <w:tc>
          <w:tcPr>
            <w:tcW w:type="dxa" w:w="2016"/>
            <w:shd w:fill="FFFFFF"/>
            <w:vAlign w:val="center"/>
          </w:tcPr>
          <w:p>
            <w:pPr>
              <w:jc w:val="center"/>
            </w:pPr>
            <w:r/>
            <w:r>
              <w:rPr>
                <w:b w:val="0"/>
                <w:color w:val="294A63"/>
                <w:sz w:val="17"/>
              </w:rPr>
              <w:t>Quel plan et quel budget ?</w:t>
            </w:r>
          </w:p>
        </w:tc>
        <w:tc>
          <w:tcPr>
            <w:tcW w:type="dxa" w:w="2016"/>
            <w:shd w:fill="FFFFFF"/>
            <w:vAlign w:val="center"/>
          </w:tcPr>
          <w:p>
            <w:pPr>
              <w:jc w:val="center"/>
            </w:pPr>
            <w:r/>
            <w:r>
              <w:rPr>
                <w:b w:val="0"/>
                <w:color w:val="294A63"/>
                <w:sz w:val="17"/>
              </w:rPr>
              <w:t>Diagnostic et proposition</w:t>
            </w:r>
          </w:p>
        </w:tc>
        <w:tc>
          <w:tcPr>
            <w:tcW w:type="dxa" w:w="2016"/>
            <w:shd w:fill="FFFFFF"/>
            <w:vAlign w:val="center"/>
          </w:tcPr>
          <w:p>
            <w:pPr>
              <w:jc w:val="center"/>
            </w:pPr>
            <w:r/>
            <w:r>
              <w:rPr>
                <w:b w:val="0"/>
                <w:color w:val="294A63"/>
                <w:sz w:val="17"/>
              </w:rPr>
              <w:t>CRM / entretien</w:t>
            </w:r>
          </w:p>
        </w:tc>
        <w:tc>
          <w:tcPr>
            <w:tcW w:type="dxa" w:w="2016"/>
            <w:shd w:fill="FFFFFF"/>
            <w:vAlign w:val="center"/>
          </w:tcPr>
          <w:p>
            <w:pPr>
              <w:jc w:val="center"/>
            </w:pPr>
            <w:r/>
            <w:r>
              <w:rPr>
                <w:b w:val="0"/>
                <w:color w:val="294A63"/>
                <w:sz w:val="17"/>
              </w:rPr>
              <w:t>Rendez-vous</w:t>
            </w:r>
          </w:p>
        </w:tc>
      </w:tr>
      <w:tr>
        <w:tc>
          <w:tcPr>
            <w:tcW w:type="dxa" w:w="2016"/>
            <w:shd w:fill="F5F9FC"/>
            <w:vAlign w:val="center"/>
          </w:tcPr>
          <w:p>
            <w:pPr>
              <w:jc w:val="center"/>
            </w:pPr>
            <w:r/>
            <w:r>
              <w:rPr>
                <w:b w:val="0"/>
                <w:color w:val="294A63"/>
                <w:sz w:val="17"/>
              </w:rPr>
              <w:t>Fidélité</w:t>
            </w:r>
          </w:p>
        </w:tc>
        <w:tc>
          <w:tcPr>
            <w:tcW w:type="dxa" w:w="2016"/>
            <w:shd w:fill="F5F9FC"/>
            <w:vAlign w:val="center"/>
          </w:tcPr>
          <w:p>
            <w:pPr>
              <w:jc w:val="center"/>
            </w:pPr>
            <w:r/>
            <w:r>
              <w:rPr>
                <w:b w:val="0"/>
                <w:color w:val="294A63"/>
                <w:sz w:val="17"/>
              </w:rPr>
              <w:t>Comment poursuivre les gains ?</w:t>
            </w:r>
          </w:p>
        </w:tc>
        <w:tc>
          <w:tcPr>
            <w:tcW w:type="dxa" w:w="2016"/>
            <w:shd w:fill="F5F9FC"/>
            <w:vAlign w:val="center"/>
          </w:tcPr>
          <w:p>
            <w:pPr>
              <w:jc w:val="center"/>
            </w:pPr>
            <w:r/>
            <w:r>
              <w:rPr>
                <w:b w:val="0"/>
                <w:color w:val="294A63"/>
                <w:sz w:val="17"/>
              </w:rPr>
              <w:t>Revue trimestrielle</w:t>
            </w:r>
          </w:p>
        </w:tc>
        <w:tc>
          <w:tcPr>
            <w:tcW w:type="dxa" w:w="2016"/>
            <w:shd w:fill="F5F9FC"/>
            <w:vAlign w:val="center"/>
          </w:tcPr>
          <w:p>
            <w:pPr>
              <w:jc w:val="center"/>
            </w:pPr>
            <w:r/>
            <w:r>
              <w:rPr>
                <w:b w:val="0"/>
                <w:color w:val="294A63"/>
                <w:sz w:val="17"/>
              </w:rPr>
              <w:t>E-mail / compte client</w:t>
            </w:r>
          </w:p>
        </w:tc>
        <w:tc>
          <w:tcPr>
            <w:tcW w:type="dxa" w:w="2016"/>
            <w:shd w:fill="F5F9FC"/>
            <w:vAlign w:val="center"/>
          </w:tcPr>
          <w:p>
            <w:pPr>
              <w:jc w:val="center"/>
            </w:pPr>
            <w:r/>
            <w:r>
              <w:rPr>
                <w:b w:val="0"/>
                <w:color w:val="294A63"/>
                <w:sz w:val="17"/>
              </w:rPr>
              <w:t>Renouvellement</w:t>
            </w:r>
          </w:p>
        </w:tc>
      </w:tr>
    </w:tbl>
    <w:p/>
    <w:p>
      <w:pPr>
        <w:pStyle w:val="Heading1"/>
        <w:jc w:val="center"/>
      </w:pPr>
      <w:r>
        <w:rPr>
          <w:color w:val="8567B7"/>
        </w:rPr>
        <w:t>6. Plan de déploiement</w:t>
      </w:r>
    </w:p>
    <w:tbl>
      <w:tblPr>
        <w:tblW w:type="auto" w:w="0"/>
        <w:jc w:val="center"/>
        <w:tblLayout w:type="autofit"/>
        <w:tblLook w:firstColumn="1" w:firstRow="1" w:lastColumn="0" w:lastRow="0" w:noHBand="0" w:noVBand="1" w:val="04A0"/>
      </w:tblPr>
      <w:tblGrid>
        <w:gridCol w:w="2520"/>
        <w:gridCol w:w="2520"/>
        <w:gridCol w:w="2520"/>
        <w:gridCol w:w="2520"/>
      </w:tblGrid>
      <w:tr>
        <w:tc>
          <w:tcPr>
            <w:tcW w:type="dxa" w:w="2520"/>
            <w:shd w:fill="8567B7"/>
            <w:vAlign w:val="center"/>
          </w:tcPr>
          <w:p>
            <w:pPr>
              <w:jc w:val="center"/>
            </w:pPr>
            <w:r/>
            <w:r>
              <w:rPr>
                <w:b/>
                <w:color w:val="FFFFFF"/>
                <w:sz w:val="18"/>
              </w:rPr>
              <w:t>Cycle</w:t>
            </w:r>
          </w:p>
        </w:tc>
        <w:tc>
          <w:tcPr>
            <w:tcW w:type="dxa" w:w="2520"/>
            <w:shd w:fill="8567B7"/>
            <w:vAlign w:val="center"/>
          </w:tcPr>
          <w:p>
            <w:pPr>
              <w:jc w:val="center"/>
            </w:pPr>
            <w:r/>
            <w:r>
              <w:rPr>
                <w:b/>
                <w:color w:val="FFFFFF"/>
                <w:sz w:val="18"/>
              </w:rPr>
              <w:t>Livrables</w:t>
            </w:r>
          </w:p>
        </w:tc>
        <w:tc>
          <w:tcPr>
            <w:tcW w:type="dxa" w:w="2520"/>
            <w:shd w:fill="8567B7"/>
            <w:vAlign w:val="center"/>
          </w:tcPr>
          <w:p>
            <w:pPr>
              <w:jc w:val="center"/>
            </w:pPr>
            <w:r/>
            <w:r>
              <w:rPr>
                <w:b/>
                <w:color w:val="FFFFFF"/>
                <w:sz w:val="18"/>
              </w:rPr>
              <w:t>Budget</w:t>
            </w:r>
          </w:p>
        </w:tc>
        <w:tc>
          <w:tcPr>
            <w:tcW w:type="dxa" w:w="2520"/>
            <w:shd w:fill="8567B7"/>
            <w:vAlign w:val="center"/>
          </w:tcPr>
          <w:p>
            <w:pPr>
              <w:jc w:val="center"/>
            </w:pPr>
            <w:r/>
            <w:r>
              <w:rPr>
                <w:b/>
                <w:color w:val="FFFFFF"/>
                <w:sz w:val="18"/>
              </w:rPr>
              <w:t>Critère de réussite</w:t>
            </w:r>
          </w:p>
        </w:tc>
      </w:tr>
      <w:tr>
        <w:tc>
          <w:tcPr>
            <w:tcW w:type="dxa" w:w="2520"/>
            <w:shd w:fill="FFFFFF"/>
            <w:vAlign w:val="center"/>
          </w:tcPr>
          <w:p>
            <w:pPr>
              <w:jc w:val="center"/>
            </w:pPr>
            <w:r/>
            <w:r>
              <w:rPr>
                <w:b w:val="0"/>
                <w:color w:val="294A63"/>
                <w:sz w:val="17"/>
              </w:rPr>
              <w:t>Jours 1-30</w:t>
            </w:r>
          </w:p>
        </w:tc>
        <w:tc>
          <w:tcPr>
            <w:tcW w:type="dxa" w:w="2520"/>
            <w:shd w:fill="FFFFFF"/>
            <w:vAlign w:val="center"/>
          </w:tcPr>
          <w:p>
            <w:pPr>
              <w:jc w:val="center"/>
            </w:pPr>
            <w:r/>
            <w:r>
              <w:rPr>
                <w:b w:val="0"/>
                <w:color w:val="294A63"/>
                <w:sz w:val="17"/>
              </w:rPr>
              <w:t>Mesure, promesse, trois pages d’offre</w:t>
            </w:r>
          </w:p>
        </w:tc>
        <w:tc>
          <w:tcPr>
            <w:tcW w:type="dxa" w:w="2520"/>
            <w:shd w:fill="FFFFFF"/>
            <w:vAlign w:val="center"/>
          </w:tcPr>
          <w:p>
            <w:pPr>
              <w:jc w:val="center"/>
            </w:pPr>
            <w:r/>
            <w:r>
              <w:rPr>
                <w:b w:val="0"/>
                <w:color w:val="294A63"/>
                <w:sz w:val="17"/>
              </w:rPr>
              <w:t>2 400 €</w:t>
            </w:r>
          </w:p>
        </w:tc>
        <w:tc>
          <w:tcPr>
            <w:tcW w:type="dxa" w:w="2520"/>
            <w:shd w:fill="FFFFFF"/>
            <w:vAlign w:val="center"/>
          </w:tcPr>
          <w:p>
            <w:pPr>
              <w:jc w:val="center"/>
            </w:pPr>
            <w:r/>
            <w:r>
              <w:rPr>
                <w:b w:val="0"/>
                <w:color w:val="294A63"/>
                <w:sz w:val="17"/>
              </w:rPr>
              <w:t>Conversions fiables et pages publiées</w:t>
            </w:r>
          </w:p>
        </w:tc>
      </w:tr>
      <w:tr>
        <w:tc>
          <w:tcPr>
            <w:tcW w:type="dxa" w:w="2520"/>
            <w:shd w:fill="F5F9FC"/>
            <w:vAlign w:val="center"/>
          </w:tcPr>
          <w:p>
            <w:pPr>
              <w:jc w:val="center"/>
            </w:pPr>
            <w:r/>
            <w:r>
              <w:rPr>
                <w:b w:val="0"/>
                <w:color w:val="294A63"/>
                <w:sz w:val="17"/>
              </w:rPr>
              <w:t>Jours 31-60</w:t>
            </w:r>
          </w:p>
        </w:tc>
        <w:tc>
          <w:tcPr>
            <w:tcW w:type="dxa" w:w="2520"/>
            <w:shd w:fill="F5F9FC"/>
            <w:vAlign w:val="center"/>
          </w:tcPr>
          <w:p>
            <w:pPr>
              <w:jc w:val="center"/>
            </w:pPr>
            <w:r/>
            <w:r>
              <w:rPr>
                <w:b w:val="0"/>
                <w:color w:val="294A63"/>
                <w:sz w:val="17"/>
              </w:rPr>
              <w:t>Trois cas clients, guide, séquence e-mail</w:t>
            </w:r>
          </w:p>
        </w:tc>
        <w:tc>
          <w:tcPr>
            <w:tcW w:type="dxa" w:w="2520"/>
            <w:shd w:fill="F5F9FC"/>
            <w:vAlign w:val="center"/>
          </w:tcPr>
          <w:p>
            <w:pPr>
              <w:jc w:val="center"/>
            </w:pPr>
            <w:r/>
            <w:r>
              <w:rPr>
                <w:b w:val="0"/>
                <w:color w:val="294A63"/>
                <w:sz w:val="17"/>
              </w:rPr>
              <w:t>3 200 €</w:t>
            </w:r>
          </w:p>
        </w:tc>
        <w:tc>
          <w:tcPr>
            <w:tcW w:type="dxa" w:w="2520"/>
            <w:shd w:fill="F5F9FC"/>
            <w:vAlign w:val="center"/>
          </w:tcPr>
          <w:p>
            <w:pPr>
              <w:jc w:val="center"/>
            </w:pPr>
            <w:r/>
            <w:r>
              <w:rPr>
                <w:b w:val="0"/>
                <w:color w:val="294A63"/>
                <w:sz w:val="17"/>
              </w:rPr>
              <w:t>20 leads qualifiés supplémentaires</w:t>
            </w:r>
          </w:p>
        </w:tc>
      </w:tr>
      <w:tr>
        <w:tc>
          <w:tcPr>
            <w:tcW w:type="dxa" w:w="2520"/>
            <w:shd w:fill="FFFFFF"/>
            <w:vAlign w:val="center"/>
          </w:tcPr>
          <w:p>
            <w:pPr>
              <w:jc w:val="center"/>
            </w:pPr>
            <w:r/>
            <w:r>
              <w:rPr>
                <w:b w:val="0"/>
                <w:color w:val="294A63"/>
                <w:sz w:val="17"/>
              </w:rPr>
              <w:t>Jours 61-90</w:t>
            </w:r>
          </w:p>
        </w:tc>
        <w:tc>
          <w:tcPr>
            <w:tcW w:type="dxa" w:w="2520"/>
            <w:shd w:fill="FFFFFF"/>
            <w:vAlign w:val="center"/>
          </w:tcPr>
          <w:p>
            <w:pPr>
              <w:jc w:val="center"/>
            </w:pPr>
            <w:r/>
            <w:r>
              <w:rPr>
                <w:b w:val="0"/>
                <w:color w:val="294A63"/>
                <w:sz w:val="17"/>
              </w:rPr>
              <w:t>Tests Ads, optimisation et revue</w:t>
            </w:r>
          </w:p>
        </w:tc>
        <w:tc>
          <w:tcPr>
            <w:tcW w:type="dxa" w:w="2520"/>
            <w:shd w:fill="FFFFFF"/>
            <w:vAlign w:val="center"/>
          </w:tcPr>
          <w:p>
            <w:pPr>
              <w:jc w:val="center"/>
            </w:pPr>
            <w:r/>
            <w:r>
              <w:rPr>
                <w:b w:val="0"/>
                <w:color w:val="294A63"/>
                <w:sz w:val="17"/>
              </w:rPr>
              <w:t>2 000 €</w:t>
            </w:r>
          </w:p>
        </w:tc>
        <w:tc>
          <w:tcPr>
            <w:tcW w:type="dxa" w:w="2520"/>
            <w:shd w:fill="FFFFFF"/>
            <w:vAlign w:val="center"/>
          </w:tcPr>
          <w:p>
            <w:pPr>
              <w:jc w:val="center"/>
            </w:pPr>
            <w:r/>
            <w:r>
              <w:rPr>
                <w:b w:val="0"/>
                <w:color w:val="294A63"/>
                <w:sz w:val="17"/>
              </w:rPr>
              <w:t>Coût/lead &lt; 42 € et conversion ≥ 4 %</w:t>
            </w:r>
          </w:p>
        </w:tc>
      </w:tr>
    </w:tbl>
    <w:p/>
    <w:p>
      <w:pPr>
        <w:pStyle w:val="Heading1"/>
        <w:jc w:val="center"/>
      </w:pPr>
      <w:r>
        <w:rPr>
          <w:color w:val="8567B7"/>
        </w:rPr>
        <w:t>7. Gouvernance et décisions</w:t>
      </w:r>
    </w:p>
    <w:p>
      <w:pPr>
        <w:jc w:val="both"/>
      </w:pPr>
      <w:r>
        <w:t>Le comité digital se réunit chaque mois. Il distingue les faits, les hypothèses et les décisions. Une action est accélérée lorsque la qualité et le coût progressent simultanément. Elle est ajustée lorsque le volume augmente sans qualité suffisante. Elle est arrêtée après deux cycles sans signal crédible, sauf décision documentée de la direction.</w:t>
      </w:r>
    </w:p>
    <w:p>
      <w:pPr>
        <w:pStyle w:val="Heading1"/>
        <w:jc w:val="center"/>
      </w:pPr>
      <w:r>
        <w:rPr>
          <w:color w:val="8567B7"/>
        </w:rPr>
        <w:t>8. Matrice RACI</w:t>
      </w:r>
    </w:p>
    <w:tbl>
      <w:tblPr>
        <w:tblW w:type="auto" w:w="0"/>
        <w:jc w:val="center"/>
        <w:tblLayout w:type="autofit"/>
        <w:tblLook w:firstColumn="1" w:firstRow="1" w:lastColumn="0" w:lastRow="0" w:noHBand="0" w:noVBand="1" w:val="04A0"/>
      </w:tblPr>
      <w:tblGrid>
        <w:gridCol w:w="2016"/>
        <w:gridCol w:w="2016"/>
        <w:gridCol w:w="2016"/>
        <w:gridCol w:w="2016"/>
        <w:gridCol w:w="2016"/>
      </w:tblGrid>
      <w:tr>
        <w:tc>
          <w:tcPr>
            <w:tcW w:type="dxa" w:w="2016"/>
            <w:shd w:fill="8567B7"/>
            <w:vAlign w:val="center"/>
          </w:tcPr>
          <w:p>
            <w:pPr>
              <w:jc w:val="center"/>
            </w:pPr>
            <w:r/>
            <w:r>
              <w:rPr>
                <w:b/>
                <w:color w:val="FFFFFF"/>
                <w:sz w:val="18"/>
              </w:rPr>
              <w:t>Livrable</w:t>
            </w:r>
          </w:p>
        </w:tc>
        <w:tc>
          <w:tcPr>
            <w:tcW w:type="dxa" w:w="2016"/>
            <w:shd w:fill="8567B7"/>
            <w:vAlign w:val="center"/>
          </w:tcPr>
          <w:p>
            <w:pPr>
              <w:jc w:val="center"/>
            </w:pPr>
            <w:r/>
            <w:r>
              <w:rPr>
                <w:b/>
                <w:color w:val="FFFFFF"/>
                <w:sz w:val="18"/>
              </w:rPr>
              <w:t>Direction</w:t>
            </w:r>
          </w:p>
        </w:tc>
        <w:tc>
          <w:tcPr>
            <w:tcW w:type="dxa" w:w="2016"/>
            <w:shd w:fill="8567B7"/>
            <w:vAlign w:val="center"/>
          </w:tcPr>
          <w:p>
            <w:pPr>
              <w:jc w:val="center"/>
            </w:pPr>
            <w:r/>
            <w:r>
              <w:rPr>
                <w:b/>
                <w:color w:val="FFFFFF"/>
                <w:sz w:val="18"/>
              </w:rPr>
              <w:t>Marketing</w:t>
            </w:r>
          </w:p>
        </w:tc>
        <w:tc>
          <w:tcPr>
            <w:tcW w:type="dxa" w:w="2016"/>
            <w:shd w:fill="8567B7"/>
            <w:vAlign w:val="center"/>
          </w:tcPr>
          <w:p>
            <w:pPr>
              <w:jc w:val="center"/>
            </w:pPr>
            <w:r/>
            <w:r>
              <w:rPr>
                <w:b/>
                <w:color w:val="FFFFFF"/>
                <w:sz w:val="18"/>
              </w:rPr>
              <w:t>Ventes</w:t>
            </w:r>
          </w:p>
        </w:tc>
        <w:tc>
          <w:tcPr>
            <w:tcW w:type="dxa" w:w="2016"/>
            <w:shd w:fill="8567B7"/>
            <w:vAlign w:val="center"/>
          </w:tcPr>
          <w:p>
            <w:pPr>
              <w:jc w:val="center"/>
            </w:pPr>
            <w:r/>
            <w:r>
              <w:rPr>
                <w:b/>
                <w:color w:val="FFFFFF"/>
                <w:sz w:val="18"/>
              </w:rPr>
              <w:t>Data / Web</w:t>
            </w:r>
          </w:p>
        </w:tc>
      </w:tr>
      <w:tr>
        <w:tc>
          <w:tcPr>
            <w:tcW w:type="dxa" w:w="2016"/>
            <w:shd w:fill="FFFFFF"/>
            <w:vAlign w:val="center"/>
          </w:tcPr>
          <w:p>
            <w:pPr>
              <w:jc w:val="center"/>
            </w:pPr>
            <w:r/>
            <w:r>
              <w:rPr>
                <w:b w:val="0"/>
                <w:color w:val="294A63"/>
                <w:sz w:val="17"/>
              </w:rPr>
              <w:t>Objectifs et budget</w:t>
            </w:r>
          </w:p>
        </w:tc>
        <w:tc>
          <w:tcPr>
            <w:tcW w:type="dxa" w:w="2016"/>
            <w:shd w:fill="FFFFFF"/>
            <w:vAlign w:val="center"/>
          </w:tcPr>
          <w:p>
            <w:pPr>
              <w:jc w:val="center"/>
            </w:pPr>
            <w:r/>
            <w:r>
              <w:rPr>
                <w:b w:val="0"/>
                <w:color w:val="294A63"/>
                <w:sz w:val="17"/>
              </w:rPr>
              <w:t>A</w:t>
            </w:r>
          </w:p>
        </w:tc>
        <w:tc>
          <w:tcPr>
            <w:tcW w:type="dxa" w:w="2016"/>
            <w:shd w:fill="FFFFFF"/>
            <w:vAlign w:val="center"/>
          </w:tcPr>
          <w:p>
            <w:pPr>
              <w:jc w:val="center"/>
            </w:pPr>
            <w:r/>
            <w:r>
              <w:rPr>
                <w:b w:val="0"/>
                <w:color w:val="294A63"/>
                <w:sz w:val="17"/>
              </w:rPr>
              <w:t>R</w:t>
            </w:r>
          </w:p>
        </w:tc>
        <w:tc>
          <w:tcPr>
            <w:tcW w:type="dxa" w:w="2016"/>
            <w:shd w:fill="FFFFFF"/>
            <w:vAlign w:val="center"/>
          </w:tcPr>
          <w:p>
            <w:pPr>
              <w:jc w:val="center"/>
            </w:pPr>
            <w:r/>
            <w:r>
              <w:rPr>
                <w:b w:val="0"/>
                <w:color w:val="294A63"/>
                <w:sz w:val="17"/>
              </w:rPr>
              <w:t>C</w:t>
            </w:r>
          </w:p>
        </w:tc>
        <w:tc>
          <w:tcPr>
            <w:tcW w:type="dxa" w:w="2016"/>
            <w:shd w:fill="FFFFFF"/>
            <w:vAlign w:val="center"/>
          </w:tcPr>
          <w:p>
            <w:pPr>
              <w:jc w:val="center"/>
            </w:pPr>
            <w:r/>
            <w:r>
              <w:rPr>
                <w:b w:val="0"/>
                <w:color w:val="294A63"/>
                <w:sz w:val="17"/>
              </w:rPr>
              <w:t>C</w:t>
            </w:r>
          </w:p>
        </w:tc>
      </w:tr>
      <w:tr>
        <w:tc>
          <w:tcPr>
            <w:tcW w:type="dxa" w:w="2016"/>
            <w:shd w:fill="F5F9FC"/>
            <w:vAlign w:val="center"/>
          </w:tcPr>
          <w:p>
            <w:pPr>
              <w:jc w:val="center"/>
            </w:pPr>
            <w:r/>
            <w:r>
              <w:rPr>
                <w:b w:val="0"/>
                <w:color w:val="294A63"/>
                <w:sz w:val="17"/>
              </w:rPr>
              <w:t>Pages et contenus</w:t>
            </w:r>
          </w:p>
        </w:tc>
        <w:tc>
          <w:tcPr>
            <w:tcW w:type="dxa" w:w="2016"/>
            <w:shd w:fill="F5F9FC"/>
            <w:vAlign w:val="center"/>
          </w:tcPr>
          <w:p>
            <w:pPr>
              <w:jc w:val="center"/>
            </w:pPr>
            <w:r/>
            <w:r>
              <w:rPr>
                <w:b w:val="0"/>
                <w:color w:val="294A63"/>
                <w:sz w:val="17"/>
              </w:rPr>
              <w:t>C</w:t>
            </w:r>
          </w:p>
        </w:tc>
        <w:tc>
          <w:tcPr>
            <w:tcW w:type="dxa" w:w="2016"/>
            <w:shd w:fill="F5F9FC"/>
            <w:vAlign w:val="center"/>
          </w:tcPr>
          <w:p>
            <w:pPr>
              <w:jc w:val="center"/>
            </w:pPr>
            <w:r/>
            <w:r>
              <w:rPr>
                <w:b w:val="0"/>
                <w:color w:val="294A63"/>
                <w:sz w:val="17"/>
              </w:rPr>
              <w:t>A/R</w:t>
            </w:r>
          </w:p>
        </w:tc>
        <w:tc>
          <w:tcPr>
            <w:tcW w:type="dxa" w:w="2016"/>
            <w:shd w:fill="F5F9FC"/>
            <w:vAlign w:val="center"/>
          </w:tcPr>
          <w:p>
            <w:pPr>
              <w:jc w:val="center"/>
            </w:pPr>
            <w:r/>
            <w:r>
              <w:rPr>
                <w:b w:val="0"/>
                <w:color w:val="294A63"/>
                <w:sz w:val="17"/>
              </w:rPr>
              <w:t>C</w:t>
            </w:r>
          </w:p>
        </w:tc>
        <w:tc>
          <w:tcPr>
            <w:tcW w:type="dxa" w:w="2016"/>
            <w:shd w:fill="F5F9FC"/>
            <w:vAlign w:val="center"/>
          </w:tcPr>
          <w:p>
            <w:pPr>
              <w:jc w:val="center"/>
            </w:pPr>
            <w:r/>
            <w:r>
              <w:rPr>
                <w:b w:val="0"/>
                <w:color w:val="294A63"/>
                <w:sz w:val="17"/>
              </w:rPr>
              <w:t>R</w:t>
            </w:r>
          </w:p>
        </w:tc>
      </w:tr>
      <w:tr>
        <w:tc>
          <w:tcPr>
            <w:tcW w:type="dxa" w:w="2016"/>
            <w:shd w:fill="FFFFFF"/>
            <w:vAlign w:val="center"/>
          </w:tcPr>
          <w:p>
            <w:pPr>
              <w:jc w:val="center"/>
            </w:pPr>
            <w:r/>
            <w:r>
              <w:rPr>
                <w:b w:val="0"/>
                <w:color w:val="294A63"/>
                <w:sz w:val="17"/>
              </w:rPr>
              <w:t>Qualification des leads</w:t>
            </w:r>
          </w:p>
        </w:tc>
        <w:tc>
          <w:tcPr>
            <w:tcW w:type="dxa" w:w="2016"/>
            <w:shd w:fill="FFFFFF"/>
            <w:vAlign w:val="center"/>
          </w:tcPr>
          <w:p>
            <w:pPr>
              <w:jc w:val="center"/>
            </w:pPr>
            <w:r/>
            <w:r>
              <w:rPr>
                <w:b w:val="0"/>
                <w:color w:val="294A63"/>
                <w:sz w:val="17"/>
              </w:rPr>
              <w:t>C</w:t>
            </w:r>
          </w:p>
        </w:tc>
        <w:tc>
          <w:tcPr>
            <w:tcW w:type="dxa" w:w="2016"/>
            <w:shd w:fill="FFFFFF"/>
            <w:vAlign w:val="center"/>
          </w:tcPr>
          <w:p>
            <w:pPr>
              <w:jc w:val="center"/>
            </w:pPr>
            <w:r/>
            <w:r>
              <w:rPr>
                <w:b w:val="0"/>
                <w:color w:val="294A63"/>
                <w:sz w:val="17"/>
              </w:rPr>
              <w:t>C</w:t>
            </w:r>
          </w:p>
        </w:tc>
        <w:tc>
          <w:tcPr>
            <w:tcW w:type="dxa" w:w="2016"/>
            <w:shd w:fill="FFFFFF"/>
            <w:vAlign w:val="center"/>
          </w:tcPr>
          <w:p>
            <w:pPr>
              <w:jc w:val="center"/>
            </w:pPr>
            <w:r/>
            <w:r>
              <w:rPr>
                <w:b w:val="0"/>
                <w:color w:val="294A63"/>
                <w:sz w:val="17"/>
              </w:rPr>
              <w:t>A/R</w:t>
            </w:r>
          </w:p>
        </w:tc>
        <w:tc>
          <w:tcPr>
            <w:tcW w:type="dxa" w:w="2016"/>
            <w:shd w:fill="FFFFFF"/>
            <w:vAlign w:val="center"/>
          </w:tcPr>
          <w:p>
            <w:pPr>
              <w:jc w:val="center"/>
            </w:pPr>
            <w:r/>
            <w:r>
              <w:rPr>
                <w:b w:val="0"/>
                <w:color w:val="294A63"/>
                <w:sz w:val="17"/>
              </w:rPr>
              <w:t>C</w:t>
            </w:r>
          </w:p>
        </w:tc>
      </w:tr>
      <w:tr>
        <w:tc>
          <w:tcPr>
            <w:tcW w:type="dxa" w:w="2016"/>
            <w:shd w:fill="F5F9FC"/>
            <w:vAlign w:val="center"/>
          </w:tcPr>
          <w:p>
            <w:pPr>
              <w:jc w:val="center"/>
            </w:pPr>
            <w:r/>
            <w:r>
              <w:rPr>
                <w:b w:val="0"/>
                <w:color w:val="294A63"/>
                <w:sz w:val="17"/>
              </w:rPr>
              <w:t>Tableau de bord</w:t>
            </w:r>
          </w:p>
        </w:tc>
        <w:tc>
          <w:tcPr>
            <w:tcW w:type="dxa" w:w="2016"/>
            <w:shd w:fill="F5F9FC"/>
            <w:vAlign w:val="center"/>
          </w:tcPr>
          <w:p>
            <w:pPr>
              <w:jc w:val="center"/>
            </w:pPr>
            <w:r/>
            <w:r>
              <w:rPr>
                <w:b w:val="0"/>
                <w:color w:val="294A63"/>
                <w:sz w:val="17"/>
              </w:rPr>
              <w:t>C</w:t>
            </w:r>
          </w:p>
        </w:tc>
        <w:tc>
          <w:tcPr>
            <w:tcW w:type="dxa" w:w="2016"/>
            <w:shd w:fill="F5F9FC"/>
            <w:vAlign w:val="center"/>
          </w:tcPr>
          <w:p>
            <w:pPr>
              <w:jc w:val="center"/>
            </w:pPr>
            <w:r/>
            <w:r>
              <w:rPr>
                <w:b w:val="0"/>
                <w:color w:val="294A63"/>
                <w:sz w:val="17"/>
              </w:rPr>
              <w:t>A</w:t>
            </w:r>
          </w:p>
        </w:tc>
        <w:tc>
          <w:tcPr>
            <w:tcW w:type="dxa" w:w="2016"/>
            <w:shd w:fill="F5F9FC"/>
            <w:vAlign w:val="center"/>
          </w:tcPr>
          <w:p>
            <w:pPr>
              <w:jc w:val="center"/>
            </w:pPr>
            <w:r/>
            <w:r>
              <w:rPr>
                <w:b w:val="0"/>
                <w:color w:val="294A63"/>
                <w:sz w:val="17"/>
              </w:rPr>
              <w:t>C</w:t>
            </w:r>
          </w:p>
        </w:tc>
        <w:tc>
          <w:tcPr>
            <w:tcW w:type="dxa" w:w="2016"/>
            <w:shd w:fill="F5F9FC"/>
            <w:vAlign w:val="center"/>
          </w:tcPr>
          <w:p>
            <w:pPr>
              <w:jc w:val="center"/>
            </w:pPr>
            <w:r/>
            <w:r>
              <w:rPr>
                <w:b w:val="0"/>
                <w:color w:val="294A63"/>
                <w:sz w:val="17"/>
              </w:rPr>
              <w:t>R</w:t>
            </w:r>
          </w:p>
        </w:tc>
      </w:tr>
      <w:tr>
        <w:tc>
          <w:tcPr>
            <w:tcW w:type="dxa" w:w="2016"/>
            <w:shd w:fill="FFFFFF"/>
            <w:vAlign w:val="center"/>
          </w:tcPr>
          <w:p>
            <w:pPr>
              <w:jc w:val="center"/>
            </w:pPr>
            <w:r/>
            <w:r>
              <w:rPr>
                <w:b w:val="0"/>
                <w:color w:val="294A63"/>
                <w:sz w:val="17"/>
              </w:rPr>
              <w:t>Revue mensuelle</w:t>
            </w:r>
          </w:p>
        </w:tc>
        <w:tc>
          <w:tcPr>
            <w:tcW w:type="dxa" w:w="2016"/>
            <w:shd w:fill="FFFFFF"/>
            <w:vAlign w:val="center"/>
          </w:tcPr>
          <w:p>
            <w:pPr>
              <w:jc w:val="center"/>
            </w:pPr>
            <w:r/>
            <w:r>
              <w:rPr>
                <w:b w:val="0"/>
                <w:color w:val="294A63"/>
                <w:sz w:val="17"/>
              </w:rPr>
              <w:t>A</w:t>
            </w:r>
          </w:p>
        </w:tc>
        <w:tc>
          <w:tcPr>
            <w:tcW w:type="dxa" w:w="2016"/>
            <w:shd w:fill="FFFFFF"/>
            <w:vAlign w:val="center"/>
          </w:tcPr>
          <w:p>
            <w:pPr>
              <w:jc w:val="center"/>
            </w:pPr>
            <w:r/>
            <w:r>
              <w:rPr>
                <w:b w:val="0"/>
                <w:color w:val="294A63"/>
                <w:sz w:val="17"/>
              </w:rPr>
              <w:t>R</w:t>
            </w:r>
          </w:p>
        </w:tc>
        <w:tc>
          <w:tcPr>
            <w:tcW w:type="dxa" w:w="2016"/>
            <w:shd w:fill="FFFFFF"/>
            <w:vAlign w:val="center"/>
          </w:tcPr>
          <w:p>
            <w:pPr>
              <w:jc w:val="center"/>
            </w:pPr>
            <w:r/>
            <w:r>
              <w:rPr>
                <w:b w:val="0"/>
                <w:color w:val="294A63"/>
                <w:sz w:val="17"/>
              </w:rPr>
              <w:t>R</w:t>
            </w:r>
          </w:p>
        </w:tc>
        <w:tc>
          <w:tcPr>
            <w:tcW w:type="dxa" w:w="2016"/>
            <w:shd w:fill="FFFFFF"/>
            <w:vAlign w:val="center"/>
          </w:tcPr>
          <w:p>
            <w:pPr>
              <w:jc w:val="center"/>
            </w:pPr>
            <w:r/>
            <w:r>
              <w:rPr>
                <w:b w:val="0"/>
                <w:color w:val="294A63"/>
                <w:sz w:val="17"/>
              </w:rPr>
              <w:t>C</w:t>
            </w:r>
          </w:p>
        </w:tc>
      </w:tr>
    </w:tbl>
    <w:p/>
    <w:p>
      <w:pPr>
        <w:pStyle w:val="Heading1"/>
        <w:jc w:val="center"/>
      </w:pPr>
      <w:r>
        <w:rPr>
          <w:color w:val="8567B7"/>
        </w:rPr>
        <w:t>9. Registre des risques</w:t>
      </w:r>
    </w:p>
    <w:tbl>
      <w:tblPr>
        <w:tblW w:type="auto" w:w="0"/>
        <w:jc w:val="center"/>
        <w:tblLayout w:type="autofit"/>
        <w:tblLook w:firstColumn="1" w:firstRow="1" w:lastColumn="0" w:lastRow="0" w:noHBand="0" w:noVBand="1" w:val="04A0"/>
      </w:tblPr>
      <w:tblGrid>
        <w:gridCol w:w="2016"/>
        <w:gridCol w:w="2016"/>
        <w:gridCol w:w="2016"/>
        <w:gridCol w:w="2016"/>
        <w:gridCol w:w="2016"/>
      </w:tblGrid>
      <w:tr>
        <w:tc>
          <w:tcPr>
            <w:tcW w:type="dxa" w:w="2016"/>
            <w:shd w:fill="8567B7"/>
            <w:vAlign w:val="center"/>
          </w:tcPr>
          <w:p>
            <w:pPr>
              <w:jc w:val="center"/>
            </w:pPr>
            <w:r/>
            <w:r>
              <w:rPr>
                <w:b/>
                <w:color w:val="FFFFFF"/>
                <w:sz w:val="18"/>
              </w:rPr>
              <w:t>Risque</w:t>
            </w:r>
          </w:p>
        </w:tc>
        <w:tc>
          <w:tcPr>
            <w:tcW w:type="dxa" w:w="2016"/>
            <w:shd w:fill="8567B7"/>
            <w:vAlign w:val="center"/>
          </w:tcPr>
          <w:p>
            <w:pPr>
              <w:jc w:val="center"/>
            </w:pPr>
            <w:r/>
            <w:r>
              <w:rPr>
                <w:b/>
                <w:color w:val="FFFFFF"/>
                <w:sz w:val="18"/>
              </w:rPr>
              <w:t>Probabilité</w:t>
            </w:r>
          </w:p>
        </w:tc>
        <w:tc>
          <w:tcPr>
            <w:tcW w:type="dxa" w:w="2016"/>
            <w:shd w:fill="8567B7"/>
            <w:vAlign w:val="center"/>
          </w:tcPr>
          <w:p>
            <w:pPr>
              <w:jc w:val="center"/>
            </w:pPr>
            <w:r/>
            <w:r>
              <w:rPr>
                <w:b/>
                <w:color w:val="FFFFFF"/>
                <w:sz w:val="18"/>
              </w:rPr>
              <w:t>Impact</w:t>
            </w:r>
          </w:p>
        </w:tc>
        <w:tc>
          <w:tcPr>
            <w:tcW w:type="dxa" w:w="2016"/>
            <w:shd w:fill="8567B7"/>
            <w:vAlign w:val="center"/>
          </w:tcPr>
          <w:p>
            <w:pPr>
              <w:jc w:val="center"/>
            </w:pPr>
            <w:r/>
            <w:r>
              <w:rPr>
                <w:b/>
                <w:color w:val="FFFFFF"/>
                <w:sz w:val="18"/>
              </w:rPr>
              <w:t>Prévention</w:t>
            </w:r>
          </w:p>
        </w:tc>
        <w:tc>
          <w:tcPr>
            <w:tcW w:type="dxa" w:w="2016"/>
            <w:shd w:fill="8567B7"/>
            <w:vAlign w:val="center"/>
          </w:tcPr>
          <w:p>
            <w:pPr>
              <w:jc w:val="center"/>
            </w:pPr>
            <w:r/>
            <w:r>
              <w:rPr>
                <w:b/>
                <w:color w:val="FFFFFF"/>
                <w:sz w:val="18"/>
              </w:rPr>
              <w:t>Plan de réponse</w:t>
            </w:r>
          </w:p>
        </w:tc>
      </w:tr>
      <w:tr>
        <w:tc>
          <w:tcPr>
            <w:tcW w:type="dxa" w:w="2016"/>
            <w:shd w:fill="FFFFFF"/>
            <w:vAlign w:val="center"/>
          </w:tcPr>
          <w:p>
            <w:pPr>
              <w:jc w:val="center"/>
            </w:pPr>
            <w:r/>
            <w:r>
              <w:rPr>
                <w:b w:val="0"/>
                <w:color w:val="294A63"/>
                <w:sz w:val="17"/>
              </w:rPr>
              <w:t>Données de conversion incomplètes</w:t>
            </w:r>
          </w:p>
        </w:tc>
        <w:tc>
          <w:tcPr>
            <w:tcW w:type="dxa" w:w="2016"/>
            <w:shd w:fill="FFFFFF"/>
            <w:vAlign w:val="center"/>
          </w:tcPr>
          <w:p>
            <w:pPr>
              <w:jc w:val="center"/>
            </w:pPr>
            <w:r/>
            <w:r>
              <w:rPr>
                <w:b w:val="0"/>
                <w:color w:val="294A63"/>
                <w:sz w:val="17"/>
              </w:rPr>
              <w:t>Moyenne</w:t>
            </w:r>
          </w:p>
        </w:tc>
        <w:tc>
          <w:tcPr>
            <w:tcW w:type="dxa" w:w="2016"/>
            <w:shd w:fill="FFFFFF"/>
            <w:vAlign w:val="center"/>
          </w:tcPr>
          <w:p>
            <w:pPr>
              <w:jc w:val="center"/>
            </w:pPr>
            <w:r/>
            <w:r>
              <w:rPr>
                <w:b w:val="0"/>
                <w:color w:val="294A63"/>
                <w:sz w:val="17"/>
              </w:rPr>
              <w:t>Élevé</w:t>
            </w:r>
          </w:p>
        </w:tc>
        <w:tc>
          <w:tcPr>
            <w:tcW w:type="dxa" w:w="2016"/>
            <w:shd w:fill="FFFFFF"/>
            <w:vAlign w:val="center"/>
          </w:tcPr>
          <w:p>
            <w:pPr>
              <w:jc w:val="center"/>
            </w:pPr>
            <w:r/>
            <w:r>
              <w:rPr>
                <w:b w:val="0"/>
                <w:color w:val="294A63"/>
                <w:sz w:val="17"/>
              </w:rPr>
              <w:t>Plan de marquage testé</w:t>
            </w:r>
          </w:p>
        </w:tc>
        <w:tc>
          <w:tcPr>
            <w:tcW w:type="dxa" w:w="2016"/>
            <w:shd w:fill="FFFFFF"/>
            <w:vAlign w:val="center"/>
          </w:tcPr>
          <w:p>
            <w:pPr>
              <w:jc w:val="center"/>
            </w:pPr>
            <w:r/>
            <w:r>
              <w:rPr>
                <w:b w:val="0"/>
                <w:color w:val="294A63"/>
                <w:sz w:val="17"/>
              </w:rPr>
              <w:t>Geler les arbitrages concernés</w:t>
            </w:r>
          </w:p>
        </w:tc>
      </w:tr>
      <w:tr>
        <w:tc>
          <w:tcPr>
            <w:tcW w:type="dxa" w:w="2016"/>
            <w:shd w:fill="F5F9FC"/>
            <w:vAlign w:val="center"/>
          </w:tcPr>
          <w:p>
            <w:pPr>
              <w:jc w:val="center"/>
            </w:pPr>
            <w:r/>
            <w:r>
              <w:rPr>
                <w:b w:val="0"/>
                <w:color w:val="294A63"/>
                <w:sz w:val="17"/>
              </w:rPr>
              <w:t>Production éditoriale en retard</w:t>
            </w:r>
          </w:p>
        </w:tc>
        <w:tc>
          <w:tcPr>
            <w:tcW w:type="dxa" w:w="2016"/>
            <w:shd w:fill="F5F9FC"/>
            <w:vAlign w:val="center"/>
          </w:tcPr>
          <w:p>
            <w:pPr>
              <w:jc w:val="center"/>
            </w:pPr>
            <w:r/>
            <w:r>
              <w:rPr>
                <w:b w:val="0"/>
                <w:color w:val="294A63"/>
                <w:sz w:val="17"/>
              </w:rPr>
              <w:t>Moyenne</w:t>
            </w:r>
          </w:p>
        </w:tc>
        <w:tc>
          <w:tcPr>
            <w:tcW w:type="dxa" w:w="2016"/>
            <w:shd w:fill="F5F9FC"/>
            <w:vAlign w:val="center"/>
          </w:tcPr>
          <w:p>
            <w:pPr>
              <w:jc w:val="center"/>
            </w:pPr>
            <w:r/>
            <w:r>
              <w:rPr>
                <w:b w:val="0"/>
                <w:color w:val="294A63"/>
                <w:sz w:val="17"/>
              </w:rPr>
              <w:t>Moyen</w:t>
            </w:r>
          </w:p>
        </w:tc>
        <w:tc>
          <w:tcPr>
            <w:tcW w:type="dxa" w:w="2016"/>
            <w:shd w:fill="F5F9FC"/>
            <w:vAlign w:val="center"/>
          </w:tcPr>
          <w:p>
            <w:pPr>
              <w:jc w:val="center"/>
            </w:pPr>
            <w:r/>
            <w:r>
              <w:rPr>
                <w:b w:val="0"/>
                <w:color w:val="294A63"/>
                <w:sz w:val="17"/>
              </w:rPr>
              <w:t>Capacité réservée par cycle</w:t>
            </w:r>
          </w:p>
        </w:tc>
        <w:tc>
          <w:tcPr>
            <w:tcW w:type="dxa" w:w="2016"/>
            <w:shd w:fill="F5F9FC"/>
            <w:vAlign w:val="center"/>
          </w:tcPr>
          <w:p>
            <w:pPr>
              <w:jc w:val="center"/>
            </w:pPr>
            <w:r/>
            <w:r>
              <w:rPr>
                <w:b w:val="0"/>
                <w:color w:val="294A63"/>
                <w:sz w:val="17"/>
              </w:rPr>
              <w:t>Réduire le nombre de formats</w:t>
            </w:r>
          </w:p>
        </w:tc>
      </w:tr>
      <w:tr>
        <w:tc>
          <w:tcPr>
            <w:tcW w:type="dxa" w:w="2016"/>
            <w:shd w:fill="FFFFFF"/>
            <w:vAlign w:val="center"/>
          </w:tcPr>
          <w:p>
            <w:pPr>
              <w:jc w:val="center"/>
            </w:pPr>
            <w:r/>
            <w:r>
              <w:rPr>
                <w:b w:val="0"/>
                <w:color w:val="294A63"/>
                <w:sz w:val="17"/>
              </w:rPr>
              <w:t>Leads mal qualifiés</w:t>
            </w:r>
          </w:p>
        </w:tc>
        <w:tc>
          <w:tcPr>
            <w:tcW w:type="dxa" w:w="2016"/>
            <w:shd w:fill="FFFFFF"/>
            <w:vAlign w:val="center"/>
          </w:tcPr>
          <w:p>
            <w:pPr>
              <w:jc w:val="center"/>
            </w:pPr>
            <w:r/>
            <w:r>
              <w:rPr>
                <w:b w:val="0"/>
                <w:color w:val="294A63"/>
                <w:sz w:val="17"/>
              </w:rPr>
              <w:t>Élevée</w:t>
            </w:r>
          </w:p>
        </w:tc>
        <w:tc>
          <w:tcPr>
            <w:tcW w:type="dxa" w:w="2016"/>
            <w:shd w:fill="FFFFFF"/>
            <w:vAlign w:val="center"/>
          </w:tcPr>
          <w:p>
            <w:pPr>
              <w:jc w:val="center"/>
            </w:pPr>
            <w:r/>
            <w:r>
              <w:rPr>
                <w:b w:val="0"/>
                <w:color w:val="294A63"/>
                <w:sz w:val="17"/>
              </w:rPr>
              <w:t>Élevé</w:t>
            </w:r>
          </w:p>
        </w:tc>
        <w:tc>
          <w:tcPr>
            <w:tcW w:type="dxa" w:w="2016"/>
            <w:shd w:fill="FFFFFF"/>
            <w:vAlign w:val="center"/>
          </w:tcPr>
          <w:p>
            <w:pPr>
              <w:jc w:val="center"/>
            </w:pPr>
            <w:r/>
            <w:r>
              <w:rPr>
                <w:b w:val="0"/>
                <w:color w:val="294A63"/>
                <w:sz w:val="17"/>
              </w:rPr>
              <w:t>Définition commune marketing-vente</w:t>
            </w:r>
          </w:p>
        </w:tc>
        <w:tc>
          <w:tcPr>
            <w:tcW w:type="dxa" w:w="2016"/>
            <w:shd w:fill="FFFFFF"/>
            <w:vAlign w:val="center"/>
          </w:tcPr>
          <w:p>
            <w:pPr>
              <w:jc w:val="center"/>
            </w:pPr>
            <w:r/>
            <w:r>
              <w:rPr>
                <w:b w:val="0"/>
                <w:color w:val="294A63"/>
                <w:sz w:val="17"/>
              </w:rPr>
              <w:t>Revoir ciblage et formulaire</w:t>
            </w:r>
          </w:p>
        </w:tc>
      </w:tr>
      <w:tr>
        <w:tc>
          <w:tcPr>
            <w:tcW w:type="dxa" w:w="2016"/>
            <w:shd w:fill="F5F9FC"/>
            <w:vAlign w:val="center"/>
          </w:tcPr>
          <w:p>
            <w:pPr>
              <w:jc w:val="center"/>
            </w:pPr>
            <w:r/>
            <w:r>
              <w:rPr>
                <w:b w:val="0"/>
                <w:color w:val="294A63"/>
                <w:sz w:val="17"/>
              </w:rPr>
              <w:t>Dépassement budgétaire</w:t>
            </w:r>
          </w:p>
        </w:tc>
        <w:tc>
          <w:tcPr>
            <w:tcW w:type="dxa" w:w="2016"/>
            <w:shd w:fill="F5F9FC"/>
            <w:vAlign w:val="center"/>
          </w:tcPr>
          <w:p>
            <w:pPr>
              <w:jc w:val="center"/>
            </w:pPr>
            <w:r/>
            <w:r>
              <w:rPr>
                <w:b w:val="0"/>
                <w:color w:val="294A63"/>
                <w:sz w:val="17"/>
              </w:rPr>
              <w:t>Faible</w:t>
            </w:r>
          </w:p>
        </w:tc>
        <w:tc>
          <w:tcPr>
            <w:tcW w:type="dxa" w:w="2016"/>
            <w:shd w:fill="F5F9FC"/>
            <w:vAlign w:val="center"/>
          </w:tcPr>
          <w:p>
            <w:pPr>
              <w:jc w:val="center"/>
            </w:pPr>
            <w:r/>
            <w:r>
              <w:rPr>
                <w:b w:val="0"/>
                <w:color w:val="294A63"/>
                <w:sz w:val="17"/>
              </w:rPr>
              <w:t>Élevé</w:t>
            </w:r>
          </w:p>
        </w:tc>
        <w:tc>
          <w:tcPr>
            <w:tcW w:type="dxa" w:w="2016"/>
            <w:shd w:fill="F5F9FC"/>
            <w:vAlign w:val="center"/>
          </w:tcPr>
          <w:p>
            <w:pPr>
              <w:jc w:val="center"/>
            </w:pPr>
            <w:r/>
            <w:r>
              <w:rPr>
                <w:b w:val="0"/>
                <w:color w:val="294A63"/>
                <w:sz w:val="17"/>
              </w:rPr>
              <w:t>Seuils par canal</w:t>
            </w:r>
          </w:p>
        </w:tc>
        <w:tc>
          <w:tcPr>
            <w:tcW w:type="dxa" w:w="2016"/>
            <w:shd w:fill="F5F9FC"/>
            <w:vAlign w:val="center"/>
          </w:tcPr>
          <w:p>
            <w:pPr>
              <w:jc w:val="center"/>
            </w:pPr>
            <w:r/>
            <w:r>
              <w:rPr>
                <w:b w:val="0"/>
                <w:color w:val="294A63"/>
                <w:sz w:val="17"/>
              </w:rPr>
              <w:t>Suspendre le poste non rentable</w:t>
            </w:r>
          </w:p>
        </w:tc>
      </w:tr>
    </w:tbl>
    <w:p/>
    <w:p>
      <w:pPr>
        <w:pStyle w:val="Heading1"/>
        <w:jc w:val="center"/>
      </w:pPr>
      <w:r>
        <w:rPr>
          <w:color w:val="8567B7"/>
        </w:rPr>
        <w:t>10. Journal des décisions</w:t>
      </w:r>
    </w:p>
    <w:tbl>
      <w:tblPr>
        <w:tblW w:type="auto" w:w="0"/>
        <w:jc w:val="center"/>
        <w:tblLayout w:type="autofit"/>
        <w:tblLook w:firstColumn="1" w:firstRow="1" w:lastColumn="0" w:lastRow="0" w:noHBand="0" w:noVBand="1" w:val="04A0"/>
      </w:tblPr>
      <w:tblGrid>
        <w:gridCol w:w="2016"/>
        <w:gridCol w:w="2016"/>
        <w:gridCol w:w="2016"/>
        <w:gridCol w:w="2016"/>
        <w:gridCol w:w="2016"/>
      </w:tblGrid>
      <w:tr>
        <w:tc>
          <w:tcPr>
            <w:tcW w:type="dxa" w:w="2016"/>
            <w:shd w:fill="8567B7"/>
            <w:vAlign w:val="center"/>
          </w:tcPr>
          <w:p>
            <w:pPr>
              <w:jc w:val="center"/>
            </w:pPr>
            <w:r/>
            <w:r>
              <w:rPr>
                <w:b/>
                <w:color w:val="FFFFFF"/>
                <w:sz w:val="18"/>
              </w:rPr>
              <w:t>Date</w:t>
            </w:r>
          </w:p>
        </w:tc>
        <w:tc>
          <w:tcPr>
            <w:tcW w:type="dxa" w:w="2016"/>
            <w:shd w:fill="8567B7"/>
            <w:vAlign w:val="center"/>
          </w:tcPr>
          <w:p>
            <w:pPr>
              <w:jc w:val="center"/>
            </w:pPr>
            <w:r/>
            <w:r>
              <w:rPr>
                <w:b/>
                <w:color w:val="FFFFFF"/>
                <w:sz w:val="18"/>
              </w:rPr>
              <w:t>Décision</w:t>
            </w:r>
          </w:p>
        </w:tc>
        <w:tc>
          <w:tcPr>
            <w:tcW w:type="dxa" w:w="2016"/>
            <w:shd w:fill="8567B7"/>
            <w:vAlign w:val="center"/>
          </w:tcPr>
          <w:p>
            <w:pPr>
              <w:jc w:val="center"/>
            </w:pPr>
            <w:r/>
            <w:r>
              <w:rPr>
                <w:b/>
                <w:color w:val="FFFFFF"/>
                <w:sz w:val="18"/>
              </w:rPr>
              <w:t>Éléments factuels</w:t>
            </w:r>
          </w:p>
        </w:tc>
        <w:tc>
          <w:tcPr>
            <w:tcW w:type="dxa" w:w="2016"/>
            <w:shd w:fill="8567B7"/>
            <w:vAlign w:val="center"/>
          </w:tcPr>
          <w:p>
            <w:pPr>
              <w:jc w:val="center"/>
            </w:pPr>
            <w:r/>
            <w:r>
              <w:rPr>
                <w:b/>
                <w:color w:val="FFFFFF"/>
                <w:sz w:val="18"/>
              </w:rPr>
              <w:t>Responsable</w:t>
            </w:r>
          </w:p>
        </w:tc>
        <w:tc>
          <w:tcPr>
            <w:tcW w:type="dxa" w:w="2016"/>
            <w:shd w:fill="8567B7"/>
            <w:vAlign w:val="center"/>
          </w:tcPr>
          <w:p>
            <w:pPr>
              <w:jc w:val="center"/>
            </w:pPr>
            <w:r/>
            <w:r>
              <w:rPr>
                <w:b/>
                <w:color w:val="FFFFFF"/>
                <w:sz w:val="18"/>
              </w:rPr>
              <w:t>Revue</w:t>
            </w:r>
          </w:p>
        </w:tc>
      </w:tr>
      <w:tr>
        <w:tc>
          <w:tcPr>
            <w:tcW w:type="dxa" w:w="2016"/>
            <w:shd w:fill="FFFFFF"/>
            <w:vAlign w:val="center"/>
          </w:tcPr>
          <w:p>
            <w:pPr>
              <w:jc w:val="center"/>
            </w:pPr>
            <w:r/>
            <w:r>
              <w:rPr>
                <w:b w:val="0"/>
                <w:color w:val="294A63"/>
                <w:sz w:val="17"/>
              </w:rPr>
              <w:t>05/09/2026</w:t>
            </w:r>
          </w:p>
        </w:tc>
        <w:tc>
          <w:tcPr>
            <w:tcW w:type="dxa" w:w="2016"/>
            <w:shd w:fill="FFFFFF"/>
            <w:vAlign w:val="center"/>
          </w:tcPr>
          <w:p>
            <w:pPr>
              <w:jc w:val="center"/>
            </w:pPr>
            <w:r/>
            <w:r>
              <w:rPr>
                <w:b w:val="0"/>
                <w:color w:val="294A63"/>
                <w:sz w:val="17"/>
              </w:rPr>
              <w:t>Prioriser trois pages d’offre</w:t>
            </w:r>
          </w:p>
        </w:tc>
        <w:tc>
          <w:tcPr>
            <w:tcW w:type="dxa" w:w="2016"/>
            <w:shd w:fill="FFFFFF"/>
            <w:vAlign w:val="center"/>
          </w:tcPr>
          <w:p>
            <w:pPr>
              <w:jc w:val="center"/>
            </w:pPr>
            <w:r/>
            <w:r>
              <w:rPr>
                <w:b w:val="0"/>
                <w:color w:val="294A63"/>
                <w:sz w:val="17"/>
              </w:rPr>
              <w:t>Conversion inférieure à 3 %</w:t>
            </w:r>
          </w:p>
        </w:tc>
        <w:tc>
          <w:tcPr>
            <w:tcW w:type="dxa" w:w="2016"/>
            <w:shd w:fill="FFFFFF"/>
            <w:vAlign w:val="center"/>
          </w:tcPr>
          <w:p>
            <w:pPr>
              <w:jc w:val="center"/>
            </w:pPr>
            <w:r/>
            <w:r>
              <w:rPr>
                <w:b w:val="0"/>
                <w:color w:val="294A63"/>
                <w:sz w:val="17"/>
              </w:rPr>
              <w:t>Direction</w:t>
            </w:r>
          </w:p>
        </w:tc>
        <w:tc>
          <w:tcPr>
            <w:tcW w:type="dxa" w:w="2016"/>
            <w:shd w:fill="FFFFFF"/>
            <w:vAlign w:val="center"/>
          </w:tcPr>
          <w:p>
            <w:pPr>
              <w:jc w:val="center"/>
            </w:pPr>
            <w:r/>
            <w:r>
              <w:rPr>
                <w:b w:val="0"/>
                <w:color w:val="294A63"/>
                <w:sz w:val="17"/>
              </w:rPr>
              <w:t>05/10/2026</w:t>
            </w:r>
          </w:p>
        </w:tc>
      </w:tr>
      <w:tr>
        <w:tc>
          <w:tcPr>
            <w:tcW w:type="dxa" w:w="2016"/>
            <w:shd w:fill="F5F9FC"/>
            <w:vAlign w:val="center"/>
          </w:tcPr>
          <w:p>
            <w:pPr>
              <w:jc w:val="center"/>
            </w:pPr>
            <w:r/>
            <w:r>
              <w:rPr>
                <w:b w:val="0"/>
                <w:color w:val="294A63"/>
                <w:sz w:val="17"/>
              </w:rPr>
              <w:t>05/10/2026</w:t>
            </w:r>
          </w:p>
        </w:tc>
        <w:tc>
          <w:tcPr>
            <w:tcW w:type="dxa" w:w="2016"/>
            <w:shd w:fill="F5F9FC"/>
            <w:vAlign w:val="center"/>
          </w:tcPr>
          <w:p>
            <w:pPr>
              <w:jc w:val="center"/>
            </w:pPr>
            <w:r/>
            <w:r>
              <w:rPr>
                <w:b w:val="0"/>
                <w:color w:val="294A63"/>
                <w:sz w:val="17"/>
              </w:rPr>
              <w:t>Renforcer les cas clients</w:t>
            </w:r>
          </w:p>
        </w:tc>
        <w:tc>
          <w:tcPr>
            <w:tcW w:type="dxa" w:w="2016"/>
            <w:shd w:fill="F5F9FC"/>
            <w:vAlign w:val="center"/>
          </w:tcPr>
          <w:p>
            <w:pPr>
              <w:jc w:val="center"/>
            </w:pPr>
            <w:r/>
            <w:r>
              <w:rPr>
                <w:b w:val="0"/>
                <w:color w:val="294A63"/>
                <w:sz w:val="17"/>
              </w:rPr>
              <w:t>Temps de lecture élevé, CTA faible</w:t>
            </w:r>
          </w:p>
        </w:tc>
        <w:tc>
          <w:tcPr>
            <w:tcW w:type="dxa" w:w="2016"/>
            <w:shd w:fill="F5F9FC"/>
            <w:vAlign w:val="center"/>
          </w:tcPr>
          <w:p>
            <w:pPr>
              <w:jc w:val="center"/>
            </w:pPr>
            <w:r/>
            <w:r>
              <w:rPr>
                <w:b w:val="0"/>
                <w:color w:val="294A63"/>
                <w:sz w:val="17"/>
              </w:rPr>
              <w:t>Marketing</w:t>
            </w:r>
          </w:p>
        </w:tc>
        <w:tc>
          <w:tcPr>
            <w:tcW w:type="dxa" w:w="2016"/>
            <w:shd w:fill="F5F9FC"/>
            <w:vAlign w:val="center"/>
          </w:tcPr>
          <w:p>
            <w:pPr>
              <w:jc w:val="center"/>
            </w:pPr>
            <w:r/>
            <w:r>
              <w:rPr>
                <w:b w:val="0"/>
                <w:color w:val="294A63"/>
                <w:sz w:val="17"/>
              </w:rPr>
              <w:t>05/11/2026</w:t>
            </w:r>
          </w:p>
        </w:tc>
      </w:tr>
      <w:tr>
        <w:tc>
          <w:tcPr>
            <w:tcW w:type="dxa" w:w="2016"/>
            <w:shd w:fill="FFFFFF"/>
            <w:vAlign w:val="center"/>
          </w:tcPr>
          <w:p>
            <w:pPr>
              <w:jc w:val="center"/>
            </w:pPr>
            <w:r/>
            <w:r>
              <w:rPr>
                <w:b w:val="0"/>
                <w:color w:val="294A63"/>
                <w:sz w:val="17"/>
              </w:rPr>
              <w:t>05/11/2026</w:t>
            </w:r>
          </w:p>
        </w:tc>
        <w:tc>
          <w:tcPr>
            <w:tcW w:type="dxa" w:w="2016"/>
            <w:shd w:fill="FFFFFF"/>
            <w:vAlign w:val="center"/>
          </w:tcPr>
          <w:p>
            <w:pPr>
              <w:jc w:val="center"/>
            </w:pPr>
            <w:r/>
            <w:r>
              <w:rPr>
                <w:b w:val="0"/>
                <w:color w:val="294A63"/>
                <w:sz w:val="17"/>
              </w:rPr>
              <w:t>Augmenter le budget SEO de 15 %</w:t>
            </w:r>
          </w:p>
        </w:tc>
        <w:tc>
          <w:tcPr>
            <w:tcW w:type="dxa" w:w="2016"/>
            <w:shd w:fill="FFFFFF"/>
            <w:vAlign w:val="center"/>
          </w:tcPr>
          <w:p>
            <w:pPr>
              <w:jc w:val="center"/>
            </w:pPr>
            <w:r/>
            <w:r>
              <w:rPr>
                <w:b w:val="0"/>
                <w:color w:val="294A63"/>
                <w:sz w:val="17"/>
              </w:rPr>
              <w:t>Coût/lead inférieur à 38 €</w:t>
            </w:r>
          </w:p>
        </w:tc>
        <w:tc>
          <w:tcPr>
            <w:tcW w:type="dxa" w:w="2016"/>
            <w:shd w:fill="FFFFFF"/>
            <w:vAlign w:val="center"/>
          </w:tcPr>
          <w:p>
            <w:pPr>
              <w:jc w:val="center"/>
            </w:pPr>
            <w:r/>
            <w:r>
              <w:rPr>
                <w:b w:val="0"/>
                <w:color w:val="294A63"/>
                <w:sz w:val="17"/>
              </w:rPr>
              <w:t>Direction</w:t>
            </w:r>
          </w:p>
        </w:tc>
        <w:tc>
          <w:tcPr>
            <w:tcW w:type="dxa" w:w="2016"/>
            <w:shd w:fill="FFFFFF"/>
            <w:vAlign w:val="center"/>
          </w:tcPr>
          <w:p>
            <w:pPr>
              <w:jc w:val="center"/>
            </w:pPr>
            <w:r/>
            <w:r>
              <w:rPr>
                <w:b w:val="0"/>
                <w:color w:val="294A63"/>
                <w:sz w:val="17"/>
              </w:rPr>
              <w:t>05/12/2026</w:t>
            </w:r>
          </w:p>
        </w:tc>
      </w:tr>
    </w:tbl>
    <w:p/>
    <w:sectPr w:rsidR="00FC693F" w:rsidRPr="0006063C" w:rsidSect="00034616">
      <w:headerReference w:type="default" r:id="rId9"/>
      <w:footerReference w:type="default" r:id="rId10"/>
      <w:pgSz w:w="12240" w:h="15840"/>
      <w:pgMar w:top="1008" w:right="1080" w:bottom="100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F8798"/>
        <w:sz w:val="16"/>
      </w:rPr>
      <w:t>Modèle professionnel à personnaliser selon les données validées de l’organisation.</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color w:val="8567B7"/>
        <w:sz w:val="16"/>
      </w:rPr>
      <w:t>LCG | STRATÉGIE DIGITALE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294A63"/>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Calibri" w:hAnsi="Calibri"/>
      <w:b/>
      <w:bCs/>
      <w:color w:val="365F91" w:themeColor="accent1" w:themeShade="BF"/>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Calibri" w:hAnsi="Calibri"/>
      <w:b/>
      <w:bCs/>
      <w:color w:val="4F81BD" w:themeColor="accent1"/>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Calibri" w:hAnsi="Calibri"/>
      <w:b/>
      <w:bCs/>
      <w:color w:val="4F81BD" w:themeColor="accent1"/>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