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4EAD78"/>
          <w:sz w:val="22"/>
        </w:rPr>
        <w:t>COLLECTION PREMIUM LCG</w:t>
      </w:r>
    </w:p>
    <w:p>
      <w:pPr>
        <w:jc w:val="center"/>
        <w:pBdr>
          <w:bottom w:val="single" w:sz="18" w:color="4EAD78"/>
        </w:pBdr>
      </w:pPr>
      <w:r>
        <w:rPr>
          <w:b/>
          <w:color w:val="173F5F"/>
          <w:sz w:val="52"/>
        </w:rPr>
        <w:t>STRATÉGIE DE COMMUNICATION DIGITALE</w:t>
      </w:r>
    </w:p>
    <w:p>
      <w:pPr>
        <w:jc w:val="center"/>
      </w:pPr>
      <w:r>
        <w:rPr>
          <w:color w:val="294A63"/>
          <w:sz w:val="26"/>
        </w:rPr>
        <w:t>Messages, ligne éditoriale, calendrier et protocole de validation</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4EAD78"/>
            <w:vAlign w:val="center"/>
          </w:tcPr>
          <w:p>
            <w:pPr>
              <w:jc w:val="center"/>
            </w:pPr>
            <w:r/>
            <w:r>
              <w:rPr>
                <w:b/>
                <w:color w:val="FFFFFF"/>
                <w:sz w:val="18"/>
              </w:rPr>
              <w:t>Organisation</w:t>
            </w:r>
          </w:p>
        </w:tc>
        <w:tc>
          <w:tcPr>
            <w:tcW w:type="dxa" w:w="2520"/>
            <w:shd w:fill="4EAD78"/>
            <w:vAlign w:val="center"/>
          </w:tcPr>
          <w:p>
            <w:pPr>
              <w:jc w:val="center"/>
            </w:pPr>
            <w:r/>
            <w:r>
              <w:rPr>
                <w:b/>
                <w:color w:val="FFFFFF"/>
                <w:sz w:val="18"/>
              </w:rPr>
              <w:t>Période</w:t>
            </w:r>
          </w:p>
        </w:tc>
        <w:tc>
          <w:tcPr>
            <w:tcW w:type="dxa" w:w="2520"/>
            <w:shd w:fill="4EAD78"/>
            <w:vAlign w:val="center"/>
          </w:tcPr>
          <w:p>
            <w:pPr>
              <w:jc w:val="center"/>
            </w:pPr>
            <w:r/>
            <w:r>
              <w:rPr>
                <w:b/>
                <w:color w:val="FFFFFF"/>
                <w:sz w:val="18"/>
              </w:rPr>
              <w:t>Pilote</w:t>
            </w:r>
          </w:p>
        </w:tc>
        <w:tc>
          <w:tcPr>
            <w:tcW w:type="dxa" w:w="2520"/>
            <w:shd w:fill="4EAD78"/>
            <w:vAlign w:val="center"/>
          </w:tcPr>
          <w:p>
            <w:pPr>
              <w:jc w:val="center"/>
            </w:pPr>
            <w:r/>
            <w:r>
              <w:rPr>
                <w:b/>
                <w:color w:val="FFFFFF"/>
                <w:sz w:val="18"/>
              </w:rPr>
              <w:t>Version</w:t>
            </w:r>
          </w:p>
        </w:tc>
      </w:tr>
      <w:tr>
        <w:tc>
          <w:tcPr>
            <w:tcW w:type="dxa" w:w="2520"/>
            <w:shd w:fill="FFFFFF"/>
            <w:vAlign w:val="center"/>
          </w:tcPr>
          <w:p>
            <w:pPr>
              <w:jc w:val="center"/>
            </w:pPr>
            <w:r/>
            <w:r>
              <w:rPr>
                <w:b w:val="0"/>
                <w:color w:val="294A63"/>
                <w:sz w:val="17"/>
              </w:rPr>
              <w:t>Nova Conseil</w:t>
            </w:r>
          </w:p>
        </w:tc>
        <w:tc>
          <w:tcPr>
            <w:tcW w:type="dxa" w:w="2520"/>
            <w:shd w:fill="FFFFFF"/>
            <w:vAlign w:val="center"/>
          </w:tcPr>
          <w:p>
            <w:pPr>
              <w:jc w:val="center"/>
            </w:pPr>
            <w:r/>
            <w:r>
              <w:rPr>
                <w:b w:val="0"/>
                <w:color w:val="294A63"/>
                <w:sz w:val="17"/>
              </w:rPr>
              <w:t>Septembre-décembre 2026</w:t>
            </w:r>
          </w:p>
        </w:tc>
        <w:tc>
          <w:tcPr>
            <w:tcW w:type="dxa" w:w="2520"/>
            <w:shd w:fill="FFFFFF"/>
            <w:vAlign w:val="center"/>
          </w:tcPr>
          <w:p>
            <w:pPr>
              <w:jc w:val="center"/>
            </w:pPr>
            <w:r/>
            <w:r>
              <w:rPr>
                <w:b w:val="0"/>
                <w:color w:val="294A63"/>
                <w:sz w:val="17"/>
              </w:rPr>
              <w:t>Direction marketing</w:t>
            </w:r>
          </w:p>
        </w:tc>
        <w:tc>
          <w:tcPr>
            <w:tcW w:type="dxa" w:w="2520"/>
            <w:shd w:fill="FFFFFF"/>
            <w:vAlign w:val="center"/>
          </w:tcPr>
          <w:p>
            <w:pPr>
              <w:jc w:val="center"/>
            </w:pPr>
            <w:r/>
            <w:r>
              <w:rPr>
                <w:b w:val="0"/>
                <w:color w:val="294A63"/>
                <w:sz w:val="17"/>
              </w:rPr>
              <w:t>1.0</w:t>
            </w:r>
          </w:p>
        </w:tc>
      </w:tr>
    </w:tbl>
    <w:p/>
    <w:p>
      <w:pPr>
        <w:jc w:val="center"/>
      </w:pPr>
      <w:r>
        <w:rPr>
          <w:i/>
          <w:color w:val="4EAD78"/>
        </w:rPr>
        <w:t>Document prérempli - exemples, décisions et zones de personnalisation</w:t>
      </w:r>
    </w:p>
    <w:p>
      <w:r>
        <w:br w:type="page"/>
      </w:r>
    </w:p>
    <w:p>
      <w:pPr>
        <w:pStyle w:val="Heading1"/>
        <w:jc w:val="center"/>
      </w:pPr>
      <w:r>
        <w:rPr>
          <w:color w:val="4EAD78"/>
        </w:rPr>
        <w:t>1. Cap de communication</w:t>
      </w:r>
    </w:p>
    <w:p>
      <w:pPr>
        <w:jc w:val="both"/>
      </w:pPr>
      <w:r>
        <w:t>La communication installe Nova Conseil comme un partenaire de pilotage, accessible aux PME qui souhaitent relier le digital aux résultats commerciaux. La marque adopte une parole précise, pédagogique et sobre. Chaque contenu apporte une méthode, une preuve ou une décision exploitable.</w:t>
      </w:r>
    </w:p>
    <w:p>
      <w:pPr>
        <w:pStyle w:val="Heading1"/>
        <w:jc w:val="center"/>
      </w:pPr>
      <w:r>
        <w:rPr>
          <w:color w:val="4EAD78"/>
        </w:rPr>
        <w:t>2. Messages par public</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4EAD78"/>
            <w:vAlign w:val="center"/>
          </w:tcPr>
          <w:p>
            <w:pPr>
              <w:jc w:val="center"/>
            </w:pPr>
            <w:r/>
            <w:r>
              <w:rPr>
                <w:b/>
                <w:color w:val="FFFFFF"/>
                <w:sz w:val="18"/>
              </w:rPr>
              <w:t>Public</w:t>
            </w:r>
          </w:p>
        </w:tc>
        <w:tc>
          <w:tcPr>
            <w:tcW w:type="dxa" w:w="2016"/>
            <w:shd w:fill="4EAD78"/>
            <w:vAlign w:val="center"/>
          </w:tcPr>
          <w:p>
            <w:pPr>
              <w:jc w:val="center"/>
            </w:pPr>
            <w:r/>
            <w:r>
              <w:rPr>
                <w:b/>
                <w:color w:val="FFFFFF"/>
                <w:sz w:val="18"/>
              </w:rPr>
              <w:t>Attente</w:t>
            </w:r>
          </w:p>
        </w:tc>
        <w:tc>
          <w:tcPr>
            <w:tcW w:type="dxa" w:w="2016"/>
            <w:shd w:fill="4EAD78"/>
            <w:vAlign w:val="center"/>
          </w:tcPr>
          <w:p>
            <w:pPr>
              <w:jc w:val="center"/>
            </w:pPr>
            <w:r/>
            <w:r>
              <w:rPr>
                <w:b/>
                <w:color w:val="FFFFFF"/>
                <w:sz w:val="18"/>
              </w:rPr>
              <w:t>Message central</w:t>
            </w:r>
          </w:p>
        </w:tc>
        <w:tc>
          <w:tcPr>
            <w:tcW w:type="dxa" w:w="2016"/>
            <w:shd w:fill="4EAD78"/>
            <w:vAlign w:val="center"/>
          </w:tcPr>
          <w:p>
            <w:pPr>
              <w:jc w:val="center"/>
            </w:pPr>
            <w:r/>
            <w:r>
              <w:rPr>
                <w:b/>
                <w:color w:val="FFFFFF"/>
                <w:sz w:val="18"/>
              </w:rPr>
              <w:t>Preuve</w:t>
            </w:r>
          </w:p>
        </w:tc>
        <w:tc>
          <w:tcPr>
            <w:tcW w:type="dxa" w:w="2016"/>
            <w:shd w:fill="4EAD78"/>
            <w:vAlign w:val="center"/>
          </w:tcPr>
          <w:p>
            <w:pPr>
              <w:jc w:val="center"/>
            </w:pPr>
            <w:r/>
            <w:r>
              <w:rPr>
                <w:b/>
                <w:color w:val="FFFFFF"/>
                <w:sz w:val="18"/>
              </w:rPr>
              <w:t>Action attendue</w:t>
            </w:r>
          </w:p>
        </w:tc>
      </w:tr>
      <w:tr>
        <w:tc>
          <w:tcPr>
            <w:tcW w:type="dxa" w:w="2016"/>
            <w:shd w:fill="FFFFFF"/>
            <w:vAlign w:val="center"/>
          </w:tcPr>
          <w:p>
            <w:pPr>
              <w:jc w:val="center"/>
            </w:pPr>
            <w:r/>
            <w:r>
              <w:rPr>
                <w:b w:val="0"/>
                <w:color w:val="294A63"/>
                <w:sz w:val="17"/>
              </w:rPr>
              <w:t>Dirigeant PME</w:t>
            </w:r>
          </w:p>
        </w:tc>
        <w:tc>
          <w:tcPr>
            <w:tcW w:type="dxa" w:w="2016"/>
            <w:shd w:fill="FFFFFF"/>
            <w:vAlign w:val="center"/>
          </w:tcPr>
          <w:p>
            <w:pPr>
              <w:jc w:val="center"/>
            </w:pPr>
            <w:r/>
            <w:r>
              <w:rPr>
                <w:b w:val="0"/>
                <w:color w:val="294A63"/>
                <w:sz w:val="17"/>
              </w:rPr>
              <w:t>Visibilité sur le retour</w:t>
            </w:r>
          </w:p>
        </w:tc>
        <w:tc>
          <w:tcPr>
            <w:tcW w:type="dxa" w:w="2016"/>
            <w:shd w:fill="FFFFFF"/>
            <w:vAlign w:val="center"/>
          </w:tcPr>
          <w:p>
            <w:pPr>
              <w:jc w:val="center"/>
            </w:pPr>
            <w:r/>
            <w:r>
              <w:rPr>
                <w:b w:val="0"/>
                <w:color w:val="294A63"/>
                <w:sz w:val="17"/>
              </w:rPr>
              <w:t>Chaque action possède un coût et une règle d’arbitrage</w:t>
            </w:r>
          </w:p>
        </w:tc>
        <w:tc>
          <w:tcPr>
            <w:tcW w:type="dxa" w:w="2016"/>
            <w:shd w:fill="FFFFFF"/>
            <w:vAlign w:val="center"/>
          </w:tcPr>
          <w:p>
            <w:pPr>
              <w:jc w:val="center"/>
            </w:pPr>
            <w:r/>
            <w:r>
              <w:rPr>
                <w:b w:val="0"/>
                <w:color w:val="294A63"/>
                <w:sz w:val="17"/>
              </w:rPr>
              <w:t>Dashboard commenté</w:t>
            </w:r>
          </w:p>
        </w:tc>
        <w:tc>
          <w:tcPr>
            <w:tcW w:type="dxa" w:w="2016"/>
            <w:shd w:fill="FFFFFF"/>
            <w:vAlign w:val="center"/>
          </w:tcPr>
          <w:p>
            <w:pPr>
              <w:jc w:val="center"/>
            </w:pPr>
            <w:r/>
            <w:r>
              <w:rPr>
                <w:b w:val="0"/>
                <w:color w:val="294A63"/>
                <w:sz w:val="17"/>
              </w:rPr>
              <w:t>Demander un diagnostic</w:t>
            </w:r>
          </w:p>
        </w:tc>
      </w:tr>
      <w:tr>
        <w:tc>
          <w:tcPr>
            <w:tcW w:type="dxa" w:w="2016"/>
            <w:shd w:fill="F5F9FC"/>
            <w:vAlign w:val="center"/>
          </w:tcPr>
          <w:p>
            <w:pPr>
              <w:jc w:val="center"/>
            </w:pPr>
            <w:r/>
            <w:r>
              <w:rPr>
                <w:b w:val="0"/>
                <w:color w:val="294A63"/>
                <w:sz w:val="17"/>
              </w:rPr>
              <w:t>Responsable marketing</w:t>
            </w:r>
          </w:p>
        </w:tc>
        <w:tc>
          <w:tcPr>
            <w:tcW w:type="dxa" w:w="2016"/>
            <w:shd w:fill="F5F9FC"/>
            <w:vAlign w:val="center"/>
          </w:tcPr>
          <w:p>
            <w:pPr>
              <w:jc w:val="center"/>
            </w:pPr>
            <w:r/>
            <w:r>
              <w:rPr>
                <w:b w:val="0"/>
                <w:color w:val="294A63"/>
                <w:sz w:val="17"/>
              </w:rPr>
              <w:t>Méthode et ressources</w:t>
            </w:r>
          </w:p>
        </w:tc>
        <w:tc>
          <w:tcPr>
            <w:tcW w:type="dxa" w:w="2016"/>
            <w:shd w:fill="F5F9FC"/>
            <w:vAlign w:val="center"/>
          </w:tcPr>
          <w:p>
            <w:pPr>
              <w:jc w:val="center"/>
            </w:pPr>
            <w:r/>
            <w:r>
              <w:rPr>
                <w:b w:val="0"/>
                <w:color w:val="294A63"/>
                <w:sz w:val="17"/>
              </w:rPr>
              <w:t>Un cycle de 90 jours rend l’exécution pilotable</w:t>
            </w:r>
          </w:p>
        </w:tc>
        <w:tc>
          <w:tcPr>
            <w:tcW w:type="dxa" w:w="2016"/>
            <w:shd w:fill="F5F9FC"/>
            <w:vAlign w:val="center"/>
          </w:tcPr>
          <w:p>
            <w:pPr>
              <w:jc w:val="center"/>
            </w:pPr>
            <w:r/>
            <w:r>
              <w:rPr>
                <w:b w:val="0"/>
                <w:color w:val="294A63"/>
                <w:sz w:val="17"/>
              </w:rPr>
              <w:t>Plan SMART</w:t>
            </w:r>
          </w:p>
        </w:tc>
        <w:tc>
          <w:tcPr>
            <w:tcW w:type="dxa" w:w="2016"/>
            <w:shd w:fill="F5F9FC"/>
            <w:vAlign w:val="center"/>
          </w:tcPr>
          <w:p>
            <w:pPr>
              <w:jc w:val="center"/>
            </w:pPr>
            <w:r/>
            <w:r>
              <w:rPr>
                <w:b w:val="0"/>
                <w:color w:val="294A63"/>
                <w:sz w:val="17"/>
              </w:rPr>
              <w:t>Télécharger la méthode</w:t>
            </w:r>
          </w:p>
        </w:tc>
      </w:tr>
      <w:tr>
        <w:tc>
          <w:tcPr>
            <w:tcW w:type="dxa" w:w="2016"/>
            <w:shd w:fill="FFFFFF"/>
            <w:vAlign w:val="center"/>
          </w:tcPr>
          <w:p>
            <w:pPr>
              <w:jc w:val="center"/>
            </w:pPr>
            <w:r/>
            <w:r>
              <w:rPr>
                <w:b w:val="0"/>
                <w:color w:val="294A63"/>
                <w:sz w:val="17"/>
              </w:rPr>
              <w:t>Commercial</w:t>
            </w:r>
          </w:p>
        </w:tc>
        <w:tc>
          <w:tcPr>
            <w:tcW w:type="dxa" w:w="2016"/>
            <w:shd w:fill="FFFFFF"/>
            <w:vAlign w:val="center"/>
          </w:tcPr>
          <w:p>
            <w:pPr>
              <w:jc w:val="center"/>
            </w:pPr>
            <w:r/>
            <w:r>
              <w:rPr>
                <w:b w:val="0"/>
                <w:color w:val="294A63"/>
                <w:sz w:val="17"/>
              </w:rPr>
              <w:t>Leads mieux qualifiés</w:t>
            </w:r>
          </w:p>
        </w:tc>
        <w:tc>
          <w:tcPr>
            <w:tcW w:type="dxa" w:w="2016"/>
            <w:shd w:fill="FFFFFF"/>
            <w:vAlign w:val="center"/>
          </w:tcPr>
          <w:p>
            <w:pPr>
              <w:jc w:val="center"/>
            </w:pPr>
            <w:r/>
            <w:r>
              <w:rPr>
                <w:b w:val="0"/>
                <w:color w:val="294A63"/>
                <w:sz w:val="17"/>
              </w:rPr>
              <w:t>Marketing et vente partagent les mêmes définitions</w:t>
            </w:r>
          </w:p>
        </w:tc>
        <w:tc>
          <w:tcPr>
            <w:tcW w:type="dxa" w:w="2016"/>
            <w:shd w:fill="FFFFFF"/>
            <w:vAlign w:val="center"/>
          </w:tcPr>
          <w:p>
            <w:pPr>
              <w:jc w:val="center"/>
            </w:pPr>
            <w:r/>
            <w:r>
              <w:rPr>
                <w:b w:val="0"/>
                <w:color w:val="294A63"/>
                <w:sz w:val="17"/>
              </w:rPr>
              <w:t>Grille de qualification</w:t>
            </w:r>
          </w:p>
        </w:tc>
        <w:tc>
          <w:tcPr>
            <w:tcW w:type="dxa" w:w="2016"/>
            <w:shd w:fill="FFFFFF"/>
            <w:vAlign w:val="center"/>
          </w:tcPr>
          <w:p>
            <w:pPr>
              <w:jc w:val="center"/>
            </w:pPr>
            <w:r/>
            <w:r>
              <w:rPr>
                <w:b w:val="0"/>
                <w:color w:val="294A63"/>
                <w:sz w:val="17"/>
              </w:rPr>
              <w:t>Participer à la revue</w:t>
            </w:r>
          </w:p>
        </w:tc>
      </w:tr>
    </w:tbl>
    <w:p/>
    <w:p>
      <w:pPr>
        <w:pStyle w:val="Heading1"/>
        <w:jc w:val="center"/>
      </w:pPr>
      <w:r>
        <w:rPr>
          <w:color w:val="4EAD78"/>
        </w:rPr>
        <w:t>3. Ligne éditoriale</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4EAD78"/>
            <w:vAlign w:val="center"/>
          </w:tcPr>
          <w:p>
            <w:pPr>
              <w:jc w:val="center"/>
            </w:pPr>
            <w:r/>
            <w:r>
              <w:rPr>
                <w:b/>
                <w:color w:val="FFFFFF"/>
                <w:sz w:val="18"/>
              </w:rPr>
              <w:t>Pilier</w:t>
            </w:r>
          </w:p>
        </w:tc>
        <w:tc>
          <w:tcPr>
            <w:tcW w:type="dxa" w:w="2016"/>
            <w:shd w:fill="4EAD78"/>
            <w:vAlign w:val="center"/>
          </w:tcPr>
          <w:p>
            <w:pPr>
              <w:jc w:val="center"/>
            </w:pPr>
            <w:r/>
            <w:r>
              <w:rPr>
                <w:b/>
                <w:color w:val="FFFFFF"/>
                <w:sz w:val="18"/>
              </w:rPr>
              <w:t>Part du calendrier</w:t>
            </w:r>
          </w:p>
        </w:tc>
        <w:tc>
          <w:tcPr>
            <w:tcW w:type="dxa" w:w="2016"/>
            <w:shd w:fill="4EAD78"/>
            <w:vAlign w:val="center"/>
          </w:tcPr>
          <w:p>
            <w:pPr>
              <w:jc w:val="center"/>
            </w:pPr>
            <w:r/>
            <w:r>
              <w:rPr>
                <w:b/>
                <w:color w:val="FFFFFF"/>
                <w:sz w:val="18"/>
              </w:rPr>
              <w:t>Formats</w:t>
            </w:r>
          </w:p>
        </w:tc>
        <w:tc>
          <w:tcPr>
            <w:tcW w:type="dxa" w:w="2016"/>
            <w:shd w:fill="4EAD78"/>
            <w:vAlign w:val="center"/>
          </w:tcPr>
          <w:p>
            <w:pPr>
              <w:jc w:val="center"/>
            </w:pPr>
            <w:r/>
            <w:r>
              <w:rPr>
                <w:b/>
                <w:color w:val="FFFFFF"/>
                <w:sz w:val="18"/>
              </w:rPr>
              <w:t>Exemple de sujet</w:t>
            </w:r>
          </w:p>
        </w:tc>
        <w:tc>
          <w:tcPr>
            <w:tcW w:type="dxa" w:w="2016"/>
            <w:shd w:fill="4EAD78"/>
            <w:vAlign w:val="center"/>
          </w:tcPr>
          <w:p>
            <w:pPr>
              <w:jc w:val="center"/>
            </w:pPr>
            <w:r/>
            <w:r>
              <w:rPr>
                <w:b/>
                <w:color w:val="FFFFFF"/>
                <w:sz w:val="18"/>
              </w:rPr>
              <w:t>KPI</w:t>
            </w:r>
          </w:p>
        </w:tc>
      </w:tr>
      <w:tr>
        <w:tc>
          <w:tcPr>
            <w:tcW w:type="dxa" w:w="2016"/>
            <w:shd w:fill="FFFFFF"/>
            <w:vAlign w:val="center"/>
          </w:tcPr>
          <w:p>
            <w:pPr>
              <w:jc w:val="center"/>
            </w:pPr>
            <w:r/>
            <w:r>
              <w:rPr>
                <w:b w:val="0"/>
                <w:color w:val="294A63"/>
                <w:sz w:val="17"/>
              </w:rPr>
              <w:t>Méthodes</w:t>
            </w:r>
          </w:p>
        </w:tc>
        <w:tc>
          <w:tcPr>
            <w:tcW w:type="dxa" w:w="2016"/>
            <w:shd w:fill="FFFFFF"/>
            <w:vAlign w:val="center"/>
          </w:tcPr>
          <w:p>
            <w:pPr>
              <w:jc w:val="center"/>
            </w:pPr>
            <w:r/>
            <w:r>
              <w:rPr>
                <w:b w:val="0"/>
                <w:color w:val="294A63"/>
                <w:sz w:val="17"/>
              </w:rPr>
              <w:t>35</w:t>
            </w:r>
          </w:p>
        </w:tc>
        <w:tc>
          <w:tcPr>
            <w:tcW w:type="dxa" w:w="2016"/>
            <w:shd w:fill="FFFFFF"/>
            <w:vAlign w:val="center"/>
          </w:tcPr>
          <w:p>
            <w:pPr>
              <w:jc w:val="center"/>
            </w:pPr>
            <w:r/>
            <w:r>
              <w:rPr>
                <w:b w:val="0"/>
                <w:color w:val="294A63"/>
                <w:sz w:val="17"/>
              </w:rPr>
              <w:t>Guides, checklists</w:t>
            </w:r>
          </w:p>
        </w:tc>
        <w:tc>
          <w:tcPr>
            <w:tcW w:type="dxa" w:w="2016"/>
            <w:shd w:fill="FFFFFF"/>
            <w:vAlign w:val="center"/>
          </w:tcPr>
          <w:p>
            <w:pPr>
              <w:jc w:val="center"/>
            </w:pPr>
            <w:r/>
            <w:r>
              <w:rPr>
                <w:b w:val="0"/>
                <w:color w:val="294A63"/>
                <w:sz w:val="17"/>
              </w:rPr>
              <w:t>Construire un objectif SMART digital</w:t>
            </w:r>
          </w:p>
        </w:tc>
        <w:tc>
          <w:tcPr>
            <w:tcW w:type="dxa" w:w="2016"/>
            <w:shd w:fill="FFFFFF"/>
            <w:vAlign w:val="center"/>
          </w:tcPr>
          <w:p>
            <w:pPr>
              <w:jc w:val="center"/>
            </w:pPr>
            <w:r/>
            <w:r>
              <w:rPr>
                <w:b w:val="0"/>
                <w:color w:val="294A63"/>
                <w:sz w:val="17"/>
              </w:rPr>
              <w:t>Temps utile / inscription</w:t>
            </w:r>
          </w:p>
        </w:tc>
      </w:tr>
      <w:tr>
        <w:tc>
          <w:tcPr>
            <w:tcW w:type="dxa" w:w="2016"/>
            <w:shd w:fill="F5F9FC"/>
            <w:vAlign w:val="center"/>
          </w:tcPr>
          <w:p>
            <w:pPr>
              <w:jc w:val="center"/>
            </w:pPr>
            <w:r/>
            <w:r>
              <w:rPr>
                <w:b w:val="0"/>
                <w:color w:val="294A63"/>
                <w:sz w:val="17"/>
              </w:rPr>
              <w:t>Preuves</w:t>
            </w:r>
          </w:p>
        </w:tc>
        <w:tc>
          <w:tcPr>
            <w:tcW w:type="dxa" w:w="2016"/>
            <w:shd w:fill="F5F9FC"/>
            <w:vAlign w:val="center"/>
          </w:tcPr>
          <w:p>
            <w:pPr>
              <w:jc w:val="center"/>
            </w:pPr>
            <w:r/>
            <w:r>
              <w:rPr>
                <w:b w:val="0"/>
                <w:color w:val="294A63"/>
                <w:sz w:val="17"/>
              </w:rPr>
              <w:t>25</w:t>
            </w:r>
          </w:p>
        </w:tc>
        <w:tc>
          <w:tcPr>
            <w:tcW w:type="dxa" w:w="2016"/>
            <w:shd w:fill="F5F9FC"/>
            <w:vAlign w:val="center"/>
          </w:tcPr>
          <w:p>
            <w:pPr>
              <w:jc w:val="center"/>
            </w:pPr>
            <w:r/>
            <w:r>
              <w:rPr>
                <w:b w:val="0"/>
                <w:color w:val="294A63"/>
                <w:sz w:val="17"/>
              </w:rPr>
              <w:t>Cas clients, avant/après</w:t>
            </w:r>
          </w:p>
        </w:tc>
        <w:tc>
          <w:tcPr>
            <w:tcW w:type="dxa" w:w="2016"/>
            <w:shd w:fill="F5F9FC"/>
            <w:vAlign w:val="center"/>
          </w:tcPr>
          <w:p>
            <w:pPr>
              <w:jc w:val="center"/>
            </w:pPr>
            <w:r/>
            <w:r>
              <w:rPr>
                <w:b w:val="0"/>
                <w:color w:val="294A63"/>
                <w:sz w:val="17"/>
              </w:rPr>
              <w:t>De 36 à 60 leads qualifiés</w:t>
            </w:r>
          </w:p>
        </w:tc>
        <w:tc>
          <w:tcPr>
            <w:tcW w:type="dxa" w:w="2016"/>
            <w:shd w:fill="F5F9FC"/>
            <w:vAlign w:val="center"/>
          </w:tcPr>
          <w:p>
            <w:pPr>
              <w:jc w:val="center"/>
            </w:pPr>
            <w:r/>
            <w:r>
              <w:rPr>
                <w:b w:val="0"/>
                <w:color w:val="294A63"/>
                <w:sz w:val="17"/>
              </w:rPr>
              <w:t>Rendez-vous assistés</w:t>
            </w:r>
          </w:p>
        </w:tc>
      </w:tr>
      <w:tr>
        <w:tc>
          <w:tcPr>
            <w:tcW w:type="dxa" w:w="2016"/>
            <w:shd w:fill="FFFFFF"/>
            <w:vAlign w:val="center"/>
          </w:tcPr>
          <w:p>
            <w:pPr>
              <w:jc w:val="center"/>
            </w:pPr>
            <w:r/>
            <w:r>
              <w:rPr>
                <w:b w:val="0"/>
                <w:color w:val="294A63"/>
                <w:sz w:val="17"/>
              </w:rPr>
              <w:t>Décision</w:t>
            </w:r>
          </w:p>
        </w:tc>
        <w:tc>
          <w:tcPr>
            <w:tcW w:type="dxa" w:w="2016"/>
            <w:shd w:fill="FFFFFF"/>
            <w:vAlign w:val="center"/>
          </w:tcPr>
          <w:p>
            <w:pPr>
              <w:jc w:val="center"/>
            </w:pPr>
            <w:r/>
            <w:r>
              <w:rPr>
                <w:b w:val="0"/>
                <w:color w:val="294A63"/>
                <w:sz w:val="17"/>
              </w:rPr>
              <w:t>20</w:t>
            </w:r>
          </w:p>
        </w:tc>
        <w:tc>
          <w:tcPr>
            <w:tcW w:type="dxa" w:w="2016"/>
            <w:shd w:fill="FFFFFF"/>
            <w:vAlign w:val="center"/>
          </w:tcPr>
          <w:p>
            <w:pPr>
              <w:jc w:val="center"/>
            </w:pPr>
            <w:r/>
            <w:r>
              <w:rPr>
                <w:b w:val="0"/>
                <w:color w:val="294A63"/>
                <w:sz w:val="17"/>
              </w:rPr>
              <w:t>Comparatifs, simulateurs</w:t>
            </w:r>
          </w:p>
        </w:tc>
        <w:tc>
          <w:tcPr>
            <w:tcW w:type="dxa" w:w="2016"/>
            <w:shd w:fill="FFFFFF"/>
            <w:vAlign w:val="center"/>
          </w:tcPr>
          <w:p>
            <w:pPr>
              <w:jc w:val="center"/>
            </w:pPr>
            <w:r/>
            <w:r>
              <w:rPr>
                <w:b w:val="0"/>
                <w:color w:val="294A63"/>
                <w:sz w:val="17"/>
              </w:rPr>
              <w:t>SEO ou Ads selon le cycle</w:t>
            </w:r>
          </w:p>
        </w:tc>
        <w:tc>
          <w:tcPr>
            <w:tcW w:type="dxa" w:w="2016"/>
            <w:shd w:fill="FFFFFF"/>
            <w:vAlign w:val="center"/>
          </w:tcPr>
          <w:p>
            <w:pPr>
              <w:jc w:val="center"/>
            </w:pPr>
            <w:r/>
            <w:r>
              <w:rPr>
                <w:b w:val="0"/>
                <w:color w:val="294A63"/>
                <w:sz w:val="17"/>
              </w:rPr>
              <w:t>Utilisation outil</w:t>
            </w:r>
          </w:p>
        </w:tc>
      </w:tr>
      <w:tr>
        <w:tc>
          <w:tcPr>
            <w:tcW w:type="dxa" w:w="2016"/>
            <w:shd w:fill="F5F9FC"/>
            <w:vAlign w:val="center"/>
          </w:tcPr>
          <w:p>
            <w:pPr>
              <w:jc w:val="center"/>
            </w:pPr>
            <w:r/>
            <w:r>
              <w:rPr>
                <w:b w:val="0"/>
                <w:color w:val="294A63"/>
                <w:sz w:val="17"/>
              </w:rPr>
              <w:t>Coulisses</w:t>
            </w:r>
          </w:p>
        </w:tc>
        <w:tc>
          <w:tcPr>
            <w:tcW w:type="dxa" w:w="2016"/>
            <w:shd w:fill="F5F9FC"/>
            <w:vAlign w:val="center"/>
          </w:tcPr>
          <w:p>
            <w:pPr>
              <w:jc w:val="center"/>
            </w:pPr>
            <w:r/>
            <w:r>
              <w:rPr>
                <w:b w:val="0"/>
                <w:color w:val="294A63"/>
                <w:sz w:val="17"/>
              </w:rPr>
              <w:t>10</w:t>
            </w:r>
          </w:p>
        </w:tc>
        <w:tc>
          <w:tcPr>
            <w:tcW w:type="dxa" w:w="2016"/>
            <w:shd w:fill="F5F9FC"/>
            <w:vAlign w:val="center"/>
          </w:tcPr>
          <w:p>
            <w:pPr>
              <w:jc w:val="center"/>
            </w:pPr>
            <w:r/>
            <w:r>
              <w:rPr>
                <w:b w:val="0"/>
                <w:color w:val="294A63"/>
                <w:sz w:val="17"/>
              </w:rPr>
              <w:t>Processus, équipe</w:t>
            </w:r>
          </w:p>
        </w:tc>
        <w:tc>
          <w:tcPr>
            <w:tcW w:type="dxa" w:w="2016"/>
            <w:shd w:fill="F5F9FC"/>
            <w:vAlign w:val="center"/>
          </w:tcPr>
          <w:p>
            <w:pPr>
              <w:jc w:val="center"/>
            </w:pPr>
            <w:r/>
            <w:r>
              <w:rPr>
                <w:b w:val="0"/>
                <w:color w:val="294A63"/>
                <w:sz w:val="17"/>
              </w:rPr>
              <w:t>Comment se déroule la revue mensuelle</w:t>
            </w:r>
          </w:p>
        </w:tc>
        <w:tc>
          <w:tcPr>
            <w:tcW w:type="dxa" w:w="2016"/>
            <w:shd w:fill="F5F9FC"/>
            <w:vAlign w:val="center"/>
          </w:tcPr>
          <w:p>
            <w:pPr>
              <w:jc w:val="center"/>
            </w:pPr>
            <w:r/>
            <w:r>
              <w:rPr>
                <w:b w:val="0"/>
                <w:color w:val="294A63"/>
                <w:sz w:val="17"/>
              </w:rPr>
              <w:t>Engagement qualifié</w:t>
            </w:r>
          </w:p>
        </w:tc>
      </w:tr>
      <w:tr>
        <w:tc>
          <w:tcPr>
            <w:tcW w:type="dxa" w:w="2016"/>
            <w:shd w:fill="FFFFFF"/>
            <w:vAlign w:val="center"/>
          </w:tcPr>
          <w:p>
            <w:pPr>
              <w:jc w:val="center"/>
            </w:pPr>
            <w:r/>
            <w:r>
              <w:rPr>
                <w:b w:val="0"/>
                <w:color w:val="294A63"/>
                <w:sz w:val="17"/>
              </w:rPr>
              <w:t>Opinion</w:t>
            </w:r>
          </w:p>
        </w:tc>
        <w:tc>
          <w:tcPr>
            <w:tcW w:type="dxa" w:w="2016"/>
            <w:shd w:fill="FFFFFF"/>
            <w:vAlign w:val="center"/>
          </w:tcPr>
          <w:p>
            <w:pPr>
              <w:jc w:val="center"/>
            </w:pPr>
            <w:r/>
            <w:r>
              <w:rPr>
                <w:b w:val="0"/>
                <w:color w:val="294A63"/>
                <w:sz w:val="17"/>
              </w:rPr>
              <w:t>10</w:t>
            </w:r>
          </w:p>
        </w:tc>
        <w:tc>
          <w:tcPr>
            <w:tcW w:type="dxa" w:w="2016"/>
            <w:shd w:fill="FFFFFF"/>
            <w:vAlign w:val="center"/>
          </w:tcPr>
          <w:p>
            <w:pPr>
              <w:jc w:val="center"/>
            </w:pPr>
            <w:r/>
            <w:r>
              <w:rPr>
                <w:b w:val="0"/>
                <w:color w:val="294A63"/>
                <w:sz w:val="17"/>
              </w:rPr>
              <w:t>Tribunes, analyses</w:t>
            </w:r>
          </w:p>
        </w:tc>
        <w:tc>
          <w:tcPr>
            <w:tcW w:type="dxa" w:w="2016"/>
            <w:shd w:fill="FFFFFF"/>
            <w:vAlign w:val="center"/>
          </w:tcPr>
          <w:p>
            <w:pPr>
              <w:jc w:val="center"/>
            </w:pPr>
            <w:r/>
            <w:r>
              <w:rPr>
                <w:b w:val="0"/>
                <w:color w:val="294A63"/>
                <w:sz w:val="17"/>
              </w:rPr>
              <w:t>Pourquoi la portée seule égare</w:t>
            </w:r>
          </w:p>
        </w:tc>
        <w:tc>
          <w:tcPr>
            <w:tcW w:type="dxa" w:w="2016"/>
            <w:shd w:fill="FFFFFF"/>
            <w:vAlign w:val="center"/>
          </w:tcPr>
          <w:p>
            <w:pPr>
              <w:jc w:val="center"/>
            </w:pPr>
            <w:r/>
            <w:r>
              <w:rPr>
                <w:b w:val="0"/>
                <w:color w:val="294A63"/>
                <w:sz w:val="17"/>
              </w:rPr>
              <w:t>Partages ciblés</w:t>
            </w:r>
          </w:p>
        </w:tc>
      </w:tr>
    </w:tbl>
    <w:p/>
    <w:p>
      <w:pPr>
        <w:pStyle w:val="Heading1"/>
        <w:jc w:val="center"/>
      </w:pPr>
      <w:r>
        <w:rPr>
          <w:color w:val="4EAD78"/>
        </w:rPr>
        <w:t>4. Ton et règles de rédaction</w:t>
      </w:r>
    </w:p>
    <w:tbl>
      <w:tblPr>
        <w:tblW w:type="auto" w:w="0"/>
        <w:jc w:val="center"/>
        <w:tblLayout w:type="autofit"/>
        <w:tblLook w:firstColumn="1" w:firstRow="1" w:lastColumn="0" w:lastRow="0" w:noHBand="0" w:noVBand="1" w:val="04A0"/>
      </w:tblPr>
      <w:tblGrid>
        <w:gridCol w:w="3360"/>
        <w:gridCol w:w="3360"/>
        <w:gridCol w:w="3360"/>
      </w:tblGrid>
      <w:tr>
        <w:tc>
          <w:tcPr>
            <w:tcW w:type="dxa" w:w="3360"/>
            <w:shd w:fill="4EAD78"/>
            <w:vAlign w:val="center"/>
          </w:tcPr>
          <w:p>
            <w:pPr>
              <w:jc w:val="center"/>
            </w:pPr>
            <w:r/>
            <w:r>
              <w:rPr>
                <w:b/>
                <w:color w:val="FFFFFF"/>
                <w:sz w:val="18"/>
              </w:rPr>
              <w:t>Principe</w:t>
            </w:r>
          </w:p>
        </w:tc>
        <w:tc>
          <w:tcPr>
            <w:tcW w:type="dxa" w:w="3360"/>
            <w:shd w:fill="4EAD78"/>
            <w:vAlign w:val="center"/>
          </w:tcPr>
          <w:p>
            <w:pPr>
              <w:jc w:val="center"/>
            </w:pPr>
            <w:r/>
            <w:r>
              <w:rPr>
                <w:b/>
                <w:color w:val="FFFFFF"/>
                <w:sz w:val="18"/>
              </w:rPr>
              <w:t>Application</w:t>
            </w:r>
          </w:p>
        </w:tc>
        <w:tc>
          <w:tcPr>
            <w:tcW w:type="dxa" w:w="3360"/>
            <w:shd w:fill="4EAD78"/>
            <w:vAlign w:val="center"/>
          </w:tcPr>
          <w:p>
            <w:pPr>
              <w:jc w:val="center"/>
            </w:pPr>
            <w:r/>
            <w:r>
              <w:rPr>
                <w:b/>
                <w:color w:val="FFFFFF"/>
                <w:sz w:val="18"/>
              </w:rPr>
              <w:t>À éviter</w:t>
            </w:r>
          </w:p>
        </w:tc>
      </w:tr>
      <w:tr>
        <w:tc>
          <w:tcPr>
            <w:tcW w:type="dxa" w:w="3360"/>
            <w:shd w:fill="FFFFFF"/>
            <w:vAlign w:val="center"/>
          </w:tcPr>
          <w:p>
            <w:pPr>
              <w:jc w:val="center"/>
            </w:pPr>
            <w:r/>
            <w:r>
              <w:rPr>
                <w:b w:val="0"/>
                <w:color w:val="294A63"/>
                <w:sz w:val="17"/>
              </w:rPr>
              <w:t>Précision</w:t>
            </w:r>
          </w:p>
        </w:tc>
        <w:tc>
          <w:tcPr>
            <w:tcW w:type="dxa" w:w="3360"/>
            <w:shd w:fill="FFFFFF"/>
            <w:vAlign w:val="center"/>
          </w:tcPr>
          <w:p>
            <w:pPr>
              <w:jc w:val="center"/>
            </w:pPr>
            <w:r/>
            <w:r>
              <w:rPr>
                <w:b w:val="0"/>
                <w:color w:val="294A63"/>
                <w:sz w:val="17"/>
              </w:rPr>
              <w:t>Nommer le résultat, la période et la preuve</w:t>
            </w:r>
          </w:p>
        </w:tc>
        <w:tc>
          <w:tcPr>
            <w:tcW w:type="dxa" w:w="3360"/>
            <w:shd w:fill="FFFFFF"/>
            <w:vAlign w:val="center"/>
          </w:tcPr>
          <w:p>
            <w:pPr>
              <w:jc w:val="center"/>
            </w:pPr>
            <w:r/>
            <w:r>
              <w:rPr>
                <w:b w:val="0"/>
                <w:color w:val="294A63"/>
                <w:sz w:val="17"/>
              </w:rPr>
              <w:t>Promesses vagues</w:t>
            </w:r>
          </w:p>
        </w:tc>
      </w:tr>
      <w:tr>
        <w:tc>
          <w:tcPr>
            <w:tcW w:type="dxa" w:w="3360"/>
            <w:shd w:fill="F5F9FC"/>
            <w:vAlign w:val="center"/>
          </w:tcPr>
          <w:p>
            <w:pPr>
              <w:jc w:val="center"/>
            </w:pPr>
            <w:r/>
            <w:r>
              <w:rPr>
                <w:b w:val="0"/>
                <w:color w:val="294A63"/>
                <w:sz w:val="17"/>
              </w:rPr>
              <w:t>Affirmation</w:t>
            </w:r>
          </w:p>
        </w:tc>
        <w:tc>
          <w:tcPr>
            <w:tcW w:type="dxa" w:w="3360"/>
            <w:shd w:fill="F5F9FC"/>
            <w:vAlign w:val="center"/>
          </w:tcPr>
          <w:p>
            <w:pPr>
              <w:jc w:val="center"/>
            </w:pPr>
            <w:r/>
            <w:r>
              <w:rPr>
                <w:b w:val="0"/>
                <w:color w:val="294A63"/>
                <w:sz w:val="17"/>
              </w:rPr>
              <w:t>Formuler des décisions nettes et argumentées</w:t>
            </w:r>
          </w:p>
        </w:tc>
        <w:tc>
          <w:tcPr>
            <w:tcW w:type="dxa" w:w="3360"/>
            <w:shd w:fill="F5F9FC"/>
            <w:vAlign w:val="center"/>
          </w:tcPr>
          <w:p>
            <w:pPr>
              <w:jc w:val="center"/>
            </w:pPr>
            <w:r/>
            <w:r>
              <w:rPr>
                <w:b w:val="0"/>
                <w:color w:val="294A63"/>
                <w:sz w:val="17"/>
              </w:rPr>
              <w:t>Accumulation de précautions</w:t>
            </w:r>
          </w:p>
        </w:tc>
      </w:tr>
      <w:tr>
        <w:tc>
          <w:tcPr>
            <w:tcW w:type="dxa" w:w="3360"/>
            <w:shd w:fill="FFFFFF"/>
            <w:vAlign w:val="center"/>
          </w:tcPr>
          <w:p>
            <w:pPr>
              <w:jc w:val="center"/>
            </w:pPr>
            <w:r/>
            <w:r>
              <w:rPr>
                <w:b w:val="0"/>
                <w:color w:val="294A63"/>
                <w:sz w:val="17"/>
              </w:rPr>
              <w:t>Utilité</w:t>
            </w:r>
          </w:p>
        </w:tc>
        <w:tc>
          <w:tcPr>
            <w:tcW w:type="dxa" w:w="3360"/>
            <w:shd w:fill="FFFFFF"/>
            <w:vAlign w:val="center"/>
          </w:tcPr>
          <w:p>
            <w:pPr>
              <w:jc w:val="center"/>
            </w:pPr>
            <w:r/>
            <w:r>
              <w:rPr>
                <w:b w:val="0"/>
                <w:color w:val="294A63"/>
                <w:sz w:val="17"/>
              </w:rPr>
              <w:t>Donner une méthode ou un exemple</w:t>
            </w:r>
          </w:p>
        </w:tc>
        <w:tc>
          <w:tcPr>
            <w:tcW w:type="dxa" w:w="3360"/>
            <w:shd w:fill="FFFFFF"/>
            <w:vAlign w:val="center"/>
          </w:tcPr>
          <w:p>
            <w:pPr>
              <w:jc w:val="center"/>
            </w:pPr>
            <w:r/>
            <w:r>
              <w:rPr>
                <w:b w:val="0"/>
                <w:color w:val="294A63"/>
                <w:sz w:val="17"/>
              </w:rPr>
              <w:t>Contenu purement promotionnel</w:t>
            </w:r>
          </w:p>
        </w:tc>
      </w:tr>
      <w:tr>
        <w:tc>
          <w:tcPr>
            <w:tcW w:type="dxa" w:w="3360"/>
            <w:shd w:fill="F5F9FC"/>
            <w:vAlign w:val="center"/>
          </w:tcPr>
          <w:p>
            <w:pPr>
              <w:jc w:val="center"/>
            </w:pPr>
            <w:r/>
            <w:r>
              <w:rPr>
                <w:b w:val="0"/>
                <w:color w:val="294A63"/>
                <w:sz w:val="17"/>
              </w:rPr>
              <w:t>Cohérence</w:t>
            </w:r>
          </w:p>
        </w:tc>
        <w:tc>
          <w:tcPr>
            <w:tcW w:type="dxa" w:w="3360"/>
            <w:shd w:fill="F5F9FC"/>
            <w:vAlign w:val="center"/>
          </w:tcPr>
          <w:p>
            <w:pPr>
              <w:jc w:val="center"/>
            </w:pPr>
            <w:r/>
            <w:r>
              <w:rPr>
                <w:b w:val="0"/>
                <w:color w:val="294A63"/>
                <w:sz w:val="17"/>
              </w:rPr>
              <w:t>Employer les mêmes définitions sur tous les canaux</w:t>
            </w:r>
          </w:p>
        </w:tc>
        <w:tc>
          <w:tcPr>
            <w:tcW w:type="dxa" w:w="3360"/>
            <w:shd w:fill="F5F9FC"/>
            <w:vAlign w:val="center"/>
          </w:tcPr>
          <w:p>
            <w:pPr>
              <w:jc w:val="center"/>
            </w:pPr>
            <w:r/>
            <w:r>
              <w:rPr>
                <w:b w:val="0"/>
                <w:color w:val="294A63"/>
                <w:sz w:val="17"/>
              </w:rPr>
              <w:t>KPI contradictoires</w:t>
            </w:r>
          </w:p>
        </w:tc>
      </w:tr>
    </w:tbl>
    <w:p/>
    <w:p>
      <w:pPr>
        <w:pStyle w:val="Heading1"/>
        <w:jc w:val="center"/>
      </w:pPr>
      <w:r>
        <w:rPr>
          <w:color w:val="4EAD78"/>
        </w:rPr>
        <w:t>5. Calendrier éditorial - exemple mensuel</w:t>
      </w:r>
    </w:p>
    <w:tbl>
      <w:tblPr>
        <w:tblW w:type="auto" w:w="0"/>
        <w:jc w:val="center"/>
        <w:tblLayout w:type="autofit"/>
        <w:tblLook w:firstColumn="1" w:firstRow="1" w:lastColumn="0" w:lastRow="0" w:noHBand="0" w:noVBand="1" w:val="04A0"/>
      </w:tblPr>
      <w:tblGrid>
        <w:gridCol w:w="1680"/>
        <w:gridCol w:w="1680"/>
        <w:gridCol w:w="1680"/>
        <w:gridCol w:w="1680"/>
        <w:gridCol w:w="1680"/>
        <w:gridCol w:w="1680"/>
      </w:tblGrid>
      <w:tr>
        <w:tc>
          <w:tcPr>
            <w:tcW w:type="dxa" w:w="1680"/>
            <w:shd w:fill="4EAD78"/>
            <w:vAlign w:val="center"/>
          </w:tcPr>
          <w:p>
            <w:pPr>
              <w:jc w:val="center"/>
            </w:pPr>
            <w:r/>
            <w:r>
              <w:rPr>
                <w:b/>
                <w:color w:val="FFFFFF"/>
                <w:sz w:val="18"/>
              </w:rPr>
              <w:t>Semaine</w:t>
            </w:r>
          </w:p>
        </w:tc>
        <w:tc>
          <w:tcPr>
            <w:tcW w:type="dxa" w:w="1680"/>
            <w:shd w:fill="4EAD78"/>
            <w:vAlign w:val="center"/>
          </w:tcPr>
          <w:p>
            <w:pPr>
              <w:jc w:val="center"/>
            </w:pPr>
            <w:r/>
            <w:r>
              <w:rPr>
                <w:b/>
                <w:color w:val="FFFFFF"/>
                <w:sz w:val="18"/>
              </w:rPr>
              <w:t>Canal</w:t>
            </w:r>
          </w:p>
        </w:tc>
        <w:tc>
          <w:tcPr>
            <w:tcW w:type="dxa" w:w="1680"/>
            <w:shd w:fill="4EAD78"/>
            <w:vAlign w:val="center"/>
          </w:tcPr>
          <w:p>
            <w:pPr>
              <w:jc w:val="center"/>
            </w:pPr>
            <w:r/>
            <w:r>
              <w:rPr>
                <w:b/>
                <w:color w:val="FFFFFF"/>
                <w:sz w:val="18"/>
              </w:rPr>
              <w:t>Sujet</w:t>
            </w:r>
          </w:p>
        </w:tc>
        <w:tc>
          <w:tcPr>
            <w:tcW w:type="dxa" w:w="1680"/>
            <w:shd w:fill="4EAD78"/>
            <w:vAlign w:val="center"/>
          </w:tcPr>
          <w:p>
            <w:pPr>
              <w:jc w:val="center"/>
            </w:pPr>
            <w:r/>
            <w:r>
              <w:rPr>
                <w:b/>
                <w:color w:val="FFFFFF"/>
                <w:sz w:val="18"/>
              </w:rPr>
              <w:t>Format</w:t>
            </w:r>
          </w:p>
        </w:tc>
        <w:tc>
          <w:tcPr>
            <w:tcW w:type="dxa" w:w="1680"/>
            <w:shd w:fill="4EAD78"/>
            <w:vAlign w:val="center"/>
          </w:tcPr>
          <w:p>
            <w:pPr>
              <w:jc w:val="center"/>
            </w:pPr>
            <w:r/>
            <w:r>
              <w:rPr>
                <w:b/>
                <w:color w:val="FFFFFF"/>
                <w:sz w:val="18"/>
              </w:rPr>
              <w:t>CTA</w:t>
            </w:r>
          </w:p>
        </w:tc>
        <w:tc>
          <w:tcPr>
            <w:tcW w:type="dxa" w:w="1680"/>
            <w:shd w:fill="4EAD78"/>
            <w:vAlign w:val="center"/>
          </w:tcPr>
          <w:p>
            <w:pPr>
              <w:jc w:val="center"/>
            </w:pPr>
            <w:r/>
            <w:r>
              <w:rPr>
                <w:b/>
                <w:color w:val="FFFFFF"/>
                <w:sz w:val="18"/>
              </w:rPr>
              <w:t>Responsable</w:t>
            </w:r>
          </w:p>
        </w:tc>
      </w:tr>
      <w:tr>
        <w:tc>
          <w:tcPr>
            <w:tcW w:type="dxa" w:w="1680"/>
            <w:shd w:fill="FFFFFF"/>
            <w:vAlign w:val="center"/>
          </w:tcPr>
          <w:p>
            <w:pPr>
              <w:jc w:val="center"/>
            </w:pPr>
            <w:r/>
            <w:r>
              <w:rPr>
                <w:b w:val="0"/>
                <w:color w:val="294A63"/>
                <w:sz w:val="17"/>
              </w:rPr>
              <w:t>S1</w:t>
            </w:r>
          </w:p>
        </w:tc>
        <w:tc>
          <w:tcPr>
            <w:tcW w:type="dxa" w:w="1680"/>
            <w:shd w:fill="FFFFFF"/>
            <w:vAlign w:val="center"/>
          </w:tcPr>
          <w:p>
            <w:pPr>
              <w:jc w:val="center"/>
            </w:pPr>
            <w:r/>
            <w:r>
              <w:rPr>
                <w:b w:val="0"/>
                <w:color w:val="294A63"/>
                <w:sz w:val="17"/>
              </w:rPr>
              <w:t>Blog</w:t>
            </w:r>
          </w:p>
        </w:tc>
        <w:tc>
          <w:tcPr>
            <w:tcW w:type="dxa" w:w="1680"/>
            <w:shd w:fill="FFFFFF"/>
            <w:vAlign w:val="center"/>
          </w:tcPr>
          <w:p>
            <w:pPr>
              <w:jc w:val="center"/>
            </w:pPr>
            <w:r/>
            <w:r>
              <w:rPr>
                <w:b w:val="0"/>
                <w:color w:val="294A63"/>
                <w:sz w:val="17"/>
              </w:rPr>
              <w:t>Choisir cinq KPI utiles</w:t>
            </w:r>
          </w:p>
        </w:tc>
        <w:tc>
          <w:tcPr>
            <w:tcW w:type="dxa" w:w="1680"/>
            <w:shd w:fill="FFFFFF"/>
            <w:vAlign w:val="center"/>
          </w:tcPr>
          <w:p>
            <w:pPr>
              <w:jc w:val="center"/>
            </w:pPr>
            <w:r/>
            <w:r>
              <w:rPr>
                <w:b w:val="0"/>
                <w:color w:val="294A63"/>
                <w:sz w:val="17"/>
              </w:rPr>
              <w:t>Guide</w:t>
            </w:r>
          </w:p>
        </w:tc>
        <w:tc>
          <w:tcPr>
            <w:tcW w:type="dxa" w:w="1680"/>
            <w:shd w:fill="FFFFFF"/>
            <w:vAlign w:val="center"/>
          </w:tcPr>
          <w:p>
            <w:pPr>
              <w:jc w:val="center"/>
            </w:pPr>
            <w:r/>
            <w:r>
              <w:rPr>
                <w:b w:val="0"/>
                <w:color w:val="294A63"/>
                <w:sz w:val="17"/>
              </w:rPr>
              <w:t>Télécharger le tableau</w:t>
            </w:r>
          </w:p>
        </w:tc>
        <w:tc>
          <w:tcPr>
            <w:tcW w:type="dxa" w:w="1680"/>
            <w:shd w:fill="FFFFFF"/>
            <w:vAlign w:val="center"/>
          </w:tcPr>
          <w:p>
            <w:pPr>
              <w:jc w:val="center"/>
            </w:pPr>
            <w:r/>
            <w:r>
              <w:rPr>
                <w:b w:val="0"/>
                <w:color w:val="294A63"/>
                <w:sz w:val="17"/>
              </w:rPr>
              <w:t>Lina</w:t>
            </w:r>
          </w:p>
        </w:tc>
      </w:tr>
      <w:tr>
        <w:tc>
          <w:tcPr>
            <w:tcW w:type="dxa" w:w="1680"/>
            <w:shd w:fill="F5F9FC"/>
            <w:vAlign w:val="center"/>
          </w:tcPr>
          <w:p>
            <w:pPr>
              <w:jc w:val="center"/>
            </w:pPr>
            <w:r/>
            <w:r>
              <w:rPr>
                <w:b w:val="0"/>
                <w:color w:val="294A63"/>
                <w:sz w:val="17"/>
              </w:rPr>
              <w:t>S1</w:t>
            </w:r>
          </w:p>
        </w:tc>
        <w:tc>
          <w:tcPr>
            <w:tcW w:type="dxa" w:w="1680"/>
            <w:shd w:fill="F5F9FC"/>
            <w:vAlign w:val="center"/>
          </w:tcPr>
          <w:p>
            <w:pPr>
              <w:jc w:val="center"/>
            </w:pPr>
            <w:r/>
            <w:r>
              <w:rPr>
                <w:b w:val="0"/>
                <w:color w:val="294A63"/>
                <w:sz w:val="17"/>
              </w:rPr>
              <w:t>LinkedIn</w:t>
            </w:r>
          </w:p>
        </w:tc>
        <w:tc>
          <w:tcPr>
            <w:tcW w:type="dxa" w:w="1680"/>
            <w:shd w:fill="F5F9FC"/>
            <w:vAlign w:val="center"/>
          </w:tcPr>
          <w:p>
            <w:pPr>
              <w:jc w:val="center"/>
            </w:pPr>
            <w:r/>
            <w:r>
              <w:rPr>
                <w:b w:val="0"/>
                <w:color w:val="294A63"/>
                <w:sz w:val="17"/>
              </w:rPr>
              <w:t>Le coût caché du trafic non qualifié</w:t>
            </w:r>
          </w:p>
        </w:tc>
        <w:tc>
          <w:tcPr>
            <w:tcW w:type="dxa" w:w="1680"/>
            <w:shd w:fill="F5F9FC"/>
            <w:vAlign w:val="center"/>
          </w:tcPr>
          <w:p>
            <w:pPr>
              <w:jc w:val="center"/>
            </w:pPr>
            <w:r/>
            <w:r>
              <w:rPr>
                <w:b w:val="0"/>
                <w:color w:val="294A63"/>
                <w:sz w:val="17"/>
              </w:rPr>
              <w:t>Carrousel</w:t>
            </w:r>
          </w:p>
        </w:tc>
        <w:tc>
          <w:tcPr>
            <w:tcW w:type="dxa" w:w="1680"/>
            <w:shd w:fill="F5F9FC"/>
            <w:vAlign w:val="center"/>
          </w:tcPr>
          <w:p>
            <w:pPr>
              <w:jc w:val="center"/>
            </w:pPr>
            <w:r/>
            <w:r>
              <w:rPr>
                <w:b w:val="0"/>
                <w:color w:val="294A63"/>
                <w:sz w:val="17"/>
              </w:rPr>
              <w:t>Lire le guide</w:t>
            </w:r>
          </w:p>
        </w:tc>
        <w:tc>
          <w:tcPr>
            <w:tcW w:type="dxa" w:w="1680"/>
            <w:shd w:fill="F5F9FC"/>
            <w:vAlign w:val="center"/>
          </w:tcPr>
          <w:p>
            <w:pPr>
              <w:jc w:val="center"/>
            </w:pPr>
            <w:r/>
            <w:r>
              <w:rPr>
                <w:b w:val="0"/>
                <w:color w:val="294A63"/>
                <w:sz w:val="17"/>
              </w:rPr>
              <w:t>Yassine</w:t>
            </w:r>
          </w:p>
        </w:tc>
      </w:tr>
      <w:tr>
        <w:tc>
          <w:tcPr>
            <w:tcW w:type="dxa" w:w="1680"/>
            <w:shd w:fill="FFFFFF"/>
            <w:vAlign w:val="center"/>
          </w:tcPr>
          <w:p>
            <w:pPr>
              <w:jc w:val="center"/>
            </w:pPr>
            <w:r/>
            <w:r>
              <w:rPr>
                <w:b w:val="0"/>
                <w:color w:val="294A63"/>
                <w:sz w:val="17"/>
              </w:rPr>
              <w:t>S2</w:t>
            </w:r>
          </w:p>
        </w:tc>
        <w:tc>
          <w:tcPr>
            <w:tcW w:type="dxa" w:w="1680"/>
            <w:shd w:fill="FFFFFF"/>
            <w:vAlign w:val="center"/>
          </w:tcPr>
          <w:p>
            <w:pPr>
              <w:jc w:val="center"/>
            </w:pPr>
            <w:r/>
            <w:r>
              <w:rPr>
                <w:b w:val="0"/>
                <w:color w:val="294A63"/>
                <w:sz w:val="17"/>
              </w:rPr>
              <w:t>E-mail</w:t>
            </w:r>
          </w:p>
        </w:tc>
        <w:tc>
          <w:tcPr>
            <w:tcW w:type="dxa" w:w="1680"/>
            <w:shd w:fill="FFFFFF"/>
            <w:vAlign w:val="center"/>
          </w:tcPr>
          <w:p>
            <w:pPr>
              <w:jc w:val="center"/>
            </w:pPr>
            <w:r/>
            <w:r>
              <w:rPr>
                <w:b w:val="0"/>
                <w:color w:val="294A63"/>
                <w:sz w:val="17"/>
              </w:rPr>
              <w:t>Cas client : plan à 90 jours</w:t>
            </w:r>
          </w:p>
        </w:tc>
        <w:tc>
          <w:tcPr>
            <w:tcW w:type="dxa" w:w="1680"/>
            <w:shd w:fill="FFFFFF"/>
            <w:vAlign w:val="center"/>
          </w:tcPr>
          <w:p>
            <w:pPr>
              <w:jc w:val="center"/>
            </w:pPr>
            <w:r/>
            <w:r>
              <w:rPr>
                <w:b w:val="0"/>
                <w:color w:val="294A63"/>
                <w:sz w:val="17"/>
              </w:rPr>
              <w:t>Étude de cas</w:t>
            </w:r>
          </w:p>
        </w:tc>
        <w:tc>
          <w:tcPr>
            <w:tcW w:type="dxa" w:w="1680"/>
            <w:shd w:fill="FFFFFF"/>
            <w:vAlign w:val="center"/>
          </w:tcPr>
          <w:p>
            <w:pPr>
              <w:jc w:val="center"/>
            </w:pPr>
            <w:r/>
            <w:r>
              <w:rPr>
                <w:b w:val="0"/>
                <w:color w:val="294A63"/>
                <w:sz w:val="17"/>
              </w:rPr>
              <w:t>Demander un diagnostic</w:t>
            </w:r>
          </w:p>
        </w:tc>
        <w:tc>
          <w:tcPr>
            <w:tcW w:type="dxa" w:w="1680"/>
            <w:shd w:fill="FFFFFF"/>
            <w:vAlign w:val="center"/>
          </w:tcPr>
          <w:p>
            <w:pPr>
              <w:jc w:val="center"/>
            </w:pPr>
            <w:r/>
            <w:r>
              <w:rPr>
                <w:b w:val="0"/>
                <w:color w:val="294A63"/>
                <w:sz w:val="17"/>
              </w:rPr>
              <w:t>Nora</w:t>
            </w:r>
          </w:p>
        </w:tc>
      </w:tr>
      <w:tr>
        <w:tc>
          <w:tcPr>
            <w:tcW w:type="dxa" w:w="1680"/>
            <w:shd w:fill="F5F9FC"/>
            <w:vAlign w:val="center"/>
          </w:tcPr>
          <w:p>
            <w:pPr>
              <w:jc w:val="center"/>
            </w:pPr>
            <w:r/>
            <w:r>
              <w:rPr>
                <w:b w:val="0"/>
                <w:color w:val="294A63"/>
                <w:sz w:val="17"/>
              </w:rPr>
              <w:t>S3</w:t>
            </w:r>
          </w:p>
        </w:tc>
        <w:tc>
          <w:tcPr>
            <w:tcW w:type="dxa" w:w="1680"/>
            <w:shd w:fill="F5F9FC"/>
            <w:vAlign w:val="center"/>
          </w:tcPr>
          <w:p>
            <w:pPr>
              <w:jc w:val="center"/>
            </w:pPr>
            <w:r/>
            <w:r>
              <w:rPr>
                <w:b w:val="0"/>
                <w:color w:val="294A63"/>
                <w:sz w:val="17"/>
              </w:rPr>
              <w:t>YouTube</w:t>
            </w:r>
          </w:p>
        </w:tc>
        <w:tc>
          <w:tcPr>
            <w:tcW w:type="dxa" w:w="1680"/>
            <w:shd w:fill="F5F9FC"/>
            <w:vAlign w:val="center"/>
          </w:tcPr>
          <w:p>
            <w:pPr>
              <w:jc w:val="center"/>
            </w:pPr>
            <w:r/>
            <w:r>
              <w:rPr>
                <w:b w:val="0"/>
                <w:color w:val="294A63"/>
                <w:sz w:val="17"/>
              </w:rPr>
              <w:t>Audit digital en 15 minutes</w:t>
            </w:r>
          </w:p>
        </w:tc>
        <w:tc>
          <w:tcPr>
            <w:tcW w:type="dxa" w:w="1680"/>
            <w:shd w:fill="F5F9FC"/>
            <w:vAlign w:val="center"/>
          </w:tcPr>
          <w:p>
            <w:pPr>
              <w:jc w:val="center"/>
            </w:pPr>
            <w:r/>
            <w:r>
              <w:rPr>
                <w:b w:val="0"/>
                <w:color w:val="294A63"/>
                <w:sz w:val="17"/>
              </w:rPr>
              <w:t>Vidéo</w:t>
            </w:r>
          </w:p>
        </w:tc>
        <w:tc>
          <w:tcPr>
            <w:tcW w:type="dxa" w:w="1680"/>
            <w:shd w:fill="F5F9FC"/>
            <w:vAlign w:val="center"/>
          </w:tcPr>
          <w:p>
            <w:pPr>
              <w:jc w:val="center"/>
            </w:pPr>
            <w:r/>
            <w:r>
              <w:rPr>
                <w:b w:val="0"/>
                <w:color w:val="294A63"/>
                <w:sz w:val="17"/>
              </w:rPr>
              <w:t>Utiliser la checklist</w:t>
            </w:r>
          </w:p>
        </w:tc>
        <w:tc>
          <w:tcPr>
            <w:tcW w:type="dxa" w:w="1680"/>
            <w:shd w:fill="F5F9FC"/>
            <w:vAlign w:val="center"/>
          </w:tcPr>
          <w:p>
            <w:pPr>
              <w:jc w:val="center"/>
            </w:pPr>
            <w:r/>
            <w:r>
              <w:rPr>
                <w:b w:val="0"/>
                <w:color w:val="294A63"/>
                <w:sz w:val="17"/>
              </w:rPr>
              <w:t>Adam</w:t>
            </w:r>
          </w:p>
        </w:tc>
      </w:tr>
      <w:tr>
        <w:tc>
          <w:tcPr>
            <w:tcW w:type="dxa" w:w="1680"/>
            <w:shd w:fill="FFFFFF"/>
            <w:vAlign w:val="center"/>
          </w:tcPr>
          <w:p>
            <w:pPr>
              <w:jc w:val="center"/>
            </w:pPr>
            <w:r/>
            <w:r>
              <w:rPr>
                <w:b w:val="0"/>
                <w:color w:val="294A63"/>
                <w:sz w:val="17"/>
              </w:rPr>
              <w:t>S4</w:t>
            </w:r>
          </w:p>
        </w:tc>
        <w:tc>
          <w:tcPr>
            <w:tcW w:type="dxa" w:w="1680"/>
            <w:shd w:fill="FFFFFF"/>
            <w:vAlign w:val="center"/>
          </w:tcPr>
          <w:p>
            <w:pPr>
              <w:jc w:val="center"/>
            </w:pPr>
            <w:r/>
            <w:r>
              <w:rPr>
                <w:b w:val="0"/>
                <w:color w:val="294A63"/>
                <w:sz w:val="17"/>
              </w:rPr>
              <w:t>Webinaire</w:t>
            </w:r>
          </w:p>
        </w:tc>
        <w:tc>
          <w:tcPr>
            <w:tcW w:type="dxa" w:w="1680"/>
            <w:shd w:fill="FFFFFF"/>
            <w:vAlign w:val="center"/>
          </w:tcPr>
          <w:p>
            <w:pPr>
              <w:jc w:val="center"/>
            </w:pPr>
            <w:r/>
            <w:r>
              <w:rPr>
                <w:b w:val="0"/>
                <w:color w:val="294A63"/>
                <w:sz w:val="17"/>
              </w:rPr>
              <w:t>Budget et arbitrage par canal</w:t>
            </w:r>
          </w:p>
        </w:tc>
        <w:tc>
          <w:tcPr>
            <w:tcW w:type="dxa" w:w="1680"/>
            <w:shd w:fill="FFFFFF"/>
            <w:vAlign w:val="center"/>
          </w:tcPr>
          <w:p>
            <w:pPr>
              <w:jc w:val="center"/>
            </w:pPr>
            <w:r/>
            <w:r>
              <w:rPr>
                <w:b w:val="0"/>
                <w:color w:val="294A63"/>
                <w:sz w:val="17"/>
              </w:rPr>
              <w:t>Atelier</w:t>
            </w:r>
          </w:p>
        </w:tc>
        <w:tc>
          <w:tcPr>
            <w:tcW w:type="dxa" w:w="1680"/>
            <w:shd w:fill="FFFFFF"/>
            <w:vAlign w:val="center"/>
          </w:tcPr>
          <w:p>
            <w:pPr>
              <w:jc w:val="center"/>
            </w:pPr>
            <w:r/>
            <w:r>
              <w:rPr>
                <w:b w:val="0"/>
                <w:color w:val="294A63"/>
                <w:sz w:val="17"/>
              </w:rPr>
              <w:t>Réserver une revue</w:t>
            </w:r>
          </w:p>
        </w:tc>
        <w:tc>
          <w:tcPr>
            <w:tcW w:type="dxa" w:w="1680"/>
            <w:shd w:fill="FFFFFF"/>
            <w:vAlign w:val="center"/>
          </w:tcPr>
          <w:p>
            <w:pPr>
              <w:jc w:val="center"/>
            </w:pPr>
            <w:r/>
            <w:r>
              <w:rPr>
                <w:b w:val="0"/>
                <w:color w:val="294A63"/>
                <w:sz w:val="17"/>
              </w:rPr>
              <w:t>Lina</w:t>
            </w:r>
          </w:p>
        </w:tc>
      </w:tr>
    </w:tbl>
    <w:p/>
    <w:p>
      <w:pPr>
        <w:pStyle w:val="Heading1"/>
        <w:jc w:val="center"/>
      </w:pPr>
      <w:r>
        <w:rPr>
          <w:color w:val="4EAD78"/>
        </w:rPr>
        <w:t>6. Circuit de validation</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4EAD78"/>
            <w:vAlign w:val="center"/>
          </w:tcPr>
          <w:p>
            <w:pPr>
              <w:jc w:val="center"/>
            </w:pPr>
            <w:r/>
            <w:r>
              <w:rPr>
                <w:b/>
                <w:color w:val="FFFFFF"/>
                <w:sz w:val="18"/>
              </w:rPr>
              <w:t>Étape</w:t>
            </w:r>
          </w:p>
        </w:tc>
        <w:tc>
          <w:tcPr>
            <w:tcW w:type="dxa" w:w="2520"/>
            <w:shd w:fill="4EAD78"/>
            <w:vAlign w:val="center"/>
          </w:tcPr>
          <w:p>
            <w:pPr>
              <w:jc w:val="center"/>
            </w:pPr>
            <w:r/>
            <w:r>
              <w:rPr>
                <w:b/>
                <w:color w:val="FFFFFF"/>
                <w:sz w:val="18"/>
              </w:rPr>
              <w:t>Responsable</w:t>
            </w:r>
          </w:p>
        </w:tc>
        <w:tc>
          <w:tcPr>
            <w:tcW w:type="dxa" w:w="2520"/>
            <w:shd w:fill="4EAD78"/>
            <w:vAlign w:val="center"/>
          </w:tcPr>
          <w:p>
            <w:pPr>
              <w:jc w:val="center"/>
            </w:pPr>
            <w:r/>
            <w:r>
              <w:rPr>
                <w:b/>
                <w:color w:val="FFFFFF"/>
                <w:sz w:val="18"/>
              </w:rPr>
              <w:t>Délai</w:t>
            </w:r>
          </w:p>
        </w:tc>
        <w:tc>
          <w:tcPr>
            <w:tcW w:type="dxa" w:w="2520"/>
            <w:shd w:fill="4EAD78"/>
            <w:vAlign w:val="center"/>
          </w:tcPr>
          <w:p>
            <w:pPr>
              <w:jc w:val="center"/>
            </w:pPr>
            <w:r/>
            <w:r>
              <w:rPr>
                <w:b/>
                <w:color w:val="FFFFFF"/>
                <w:sz w:val="18"/>
              </w:rPr>
              <w:t>Critère de sortie</w:t>
            </w:r>
          </w:p>
        </w:tc>
      </w:tr>
      <w:tr>
        <w:tc>
          <w:tcPr>
            <w:tcW w:type="dxa" w:w="2520"/>
            <w:shd w:fill="FFFFFF"/>
            <w:vAlign w:val="center"/>
          </w:tcPr>
          <w:p>
            <w:pPr>
              <w:jc w:val="center"/>
            </w:pPr>
            <w:r/>
            <w:r>
              <w:rPr>
                <w:b w:val="0"/>
                <w:color w:val="294A63"/>
                <w:sz w:val="17"/>
              </w:rPr>
              <w:t>Brief</w:t>
            </w:r>
          </w:p>
        </w:tc>
        <w:tc>
          <w:tcPr>
            <w:tcW w:type="dxa" w:w="2520"/>
            <w:shd w:fill="FFFFFF"/>
            <w:vAlign w:val="center"/>
          </w:tcPr>
          <w:p>
            <w:pPr>
              <w:jc w:val="center"/>
            </w:pPr>
            <w:r/>
            <w:r>
              <w:rPr>
                <w:b w:val="0"/>
                <w:color w:val="294A63"/>
                <w:sz w:val="17"/>
              </w:rPr>
              <w:t>Marketing</w:t>
            </w:r>
          </w:p>
        </w:tc>
        <w:tc>
          <w:tcPr>
            <w:tcW w:type="dxa" w:w="2520"/>
            <w:shd w:fill="FFFFFF"/>
            <w:vAlign w:val="center"/>
          </w:tcPr>
          <w:p>
            <w:pPr>
              <w:jc w:val="center"/>
            </w:pPr>
            <w:r/>
            <w:r>
              <w:rPr>
                <w:b w:val="0"/>
                <w:color w:val="294A63"/>
                <w:sz w:val="17"/>
              </w:rPr>
              <w:t>J-12</w:t>
            </w:r>
          </w:p>
        </w:tc>
        <w:tc>
          <w:tcPr>
            <w:tcW w:type="dxa" w:w="2520"/>
            <w:shd w:fill="FFFFFF"/>
            <w:vAlign w:val="center"/>
          </w:tcPr>
          <w:p>
            <w:pPr>
              <w:jc w:val="center"/>
            </w:pPr>
            <w:r/>
            <w:r>
              <w:rPr>
                <w:b w:val="0"/>
                <w:color w:val="294A63"/>
                <w:sz w:val="17"/>
              </w:rPr>
              <w:t>Objectif, public et CTA définis</w:t>
            </w:r>
          </w:p>
        </w:tc>
      </w:tr>
      <w:tr>
        <w:tc>
          <w:tcPr>
            <w:tcW w:type="dxa" w:w="2520"/>
            <w:shd w:fill="F5F9FC"/>
            <w:vAlign w:val="center"/>
          </w:tcPr>
          <w:p>
            <w:pPr>
              <w:jc w:val="center"/>
            </w:pPr>
            <w:r/>
            <w:r>
              <w:rPr>
                <w:b w:val="0"/>
                <w:color w:val="294A63"/>
                <w:sz w:val="17"/>
              </w:rPr>
              <w:t>Production</w:t>
            </w:r>
          </w:p>
        </w:tc>
        <w:tc>
          <w:tcPr>
            <w:tcW w:type="dxa" w:w="2520"/>
            <w:shd w:fill="F5F9FC"/>
            <w:vAlign w:val="center"/>
          </w:tcPr>
          <w:p>
            <w:pPr>
              <w:jc w:val="center"/>
            </w:pPr>
            <w:r/>
            <w:r>
              <w:rPr>
                <w:b w:val="0"/>
                <w:color w:val="294A63"/>
                <w:sz w:val="17"/>
              </w:rPr>
              <w:t>Auteur</w:t>
            </w:r>
          </w:p>
        </w:tc>
        <w:tc>
          <w:tcPr>
            <w:tcW w:type="dxa" w:w="2520"/>
            <w:shd w:fill="F5F9FC"/>
            <w:vAlign w:val="center"/>
          </w:tcPr>
          <w:p>
            <w:pPr>
              <w:jc w:val="center"/>
            </w:pPr>
            <w:r/>
            <w:r>
              <w:rPr>
                <w:b w:val="0"/>
                <w:color w:val="294A63"/>
                <w:sz w:val="17"/>
              </w:rPr>
              <w:t>J-8</w:t>
            </w:r>
          </w:p>
        </w:tc>
        <w:tc>
          <w:tcPr>
            <w:tcW w:type="dxa" w:w="2520"/>
            <w:shd w:fill="F5F9FC"/>
            <w:vAlign w:val="center"/>
          </w:tcPr>
          <w:p>
            <w:pPr>
              <w:jc w:val="center"/>
            </w:pPr>
            <w:r/>
            <w:r>
              <w:rPr>
                <w:b w:val="0"/>
                <w:color w:val="294A63"/>
                <w:sz w:val="17"/>
              </w:rPr>
              <w:t>Contenu complet et sourcé</w:t>
            </w:r>
          </w:p>
        </w:tc>
      </w:tr>
      <w:tr>
        <w:tc>
          <w:tcPr>
            <w:tcW w:type="dxa" w:w="2520"/>
            <w:shd w:fill="FFFFFF"/>
            <w:vAlign w:val="center"/>
          </w:tcPr>
          <w:p>
            <w:pPr>
              <w:jc w:val="center"/>
            </w:pPr>
            <w:r/>
            <w:r>
              <w:rPr>
                <w:b w:val="0"/>
                <w:color w:val="294A63"/>
                <w:sz w:val="17"/>
              </w:rPr>
              <w:t>Validation métier</w:t>
            </w:r>
          </w:p>
        </w:tc>
        <w:tc>
          <w:tcPr>
            <w:tcW w:type="dxa" w:w="2520"/>
            <w:shd w:fill="FFFFFF"/>
            <w:vAlign w:val="center"/>
          </w:tcPr>
          <w:p>
            <w:pPr>
              <w:jc w:val="center"/>
            </w:pPr>
            <w:r/>
            <w:r>
              <w:rPr>
                <w:b w:val="0"/>
                <w:color w:val="294A63"/>
                <w:sz w:val="17"/>
              </w:rPr>
              <w:t>Expert</w:t>
            </w:r>
          </w:p>
        </w:tc>
        <w:tc>
          <w:tcPr>
            <w:tcW w:type="dxa" w:w="2520"/>
            <w:shd w:fill="FFFFFF"/>
            <w:vAlign w:val="center"/>
          </w:tcPr>
          <w:p>
            <w:pPr>
              <w:jc w:val="center"/>
            </w:pPr>
            <w:r/>
            <w:r>
              <w:rPr>
                <w:b w:val="0"/>
                <w:color w:val="294A63"/>
                <w:sz w:val="17"/>
              </w:rPr>
              <w:t>J-5</w:t>
            </w:r>
          </w:p>
        </w:tc>
        <w:tc>
          <w:tcPr>
            <w:tcW w:type="dxa" w:w="2520"/>
            <w:shd w:fill="FFFFFF"/>
            <w:vAlign w:val="center"/>
          </w:tcPr>
          <w:p>
            <w:pPr>
              <w:jc w:val="center"/>
            </w:pPr>
            <w:r/>
            <w:r>
              <w:rPr>
                <w:b w:val="0"/>
                <w:color w:val="294A63"/>
                <w:sz w:val="17"/>
              </w:rPr>
              <w:t>Exactitude confirmée</w:t>
            </w:r>
          </w:p>
        </w:tc>
      </w:tr>
      <w:tr>
        <w:tc>
          <w:tcPr>
            <w:tcW w:type="dxa" w:w="2520"/>
            <w:shd w:fill="F5F9FC"/>
            <w:vAlign w:val="center"/>
          </w:tcPr>
          <w:p>
            <w:pPr>
              <w:jc w:val="center"/>
            </w:pPr>
            <w:r/>
            <w:r>
              <w:rPr>
                <w:b w:val="0"/>
                <w:color w:val="294A63"/>
                <w:sz w:val="17"/>
              </w:rPr>
              <w:t>Validation marque</w:t>
            </w:r>
          </w:p>
        </w:tc>
        <w:tc>
          <w:tcPr>
            <w:tcW w:type="dxa" w:w="2520"/>
            <w:shd w:fill="F5F9FC"/>
            <w:vAlign w:val="center"/>
          </w:tcPr>
          <w:p>
            <w:pPr>
              <w:jc w:val="center"/>
            </w:pPr>
            <w:r/>
            <w:r>
              <w:rPr>
                <w:b w:val="0"/>
                <w:color w:val="294A63"/>
                <w:sz w:val="17"/>
              </w:rPr>
              <w:t>Communication</w:t>
            </w:r>
          </w:p>
        </w:tc>
        <w:tc>
          <w:tcPr>
            <w:tcW w:type="dxa" w:w="2520"/>
            <w:shd w:fill="F5F9FC"/>
            <w:vAlign w:val="center"/>
          </w:tcPr>
          <w:p>
            <w:pPr>
              <w:jc w:val="center"/>
            </w:pPr>
            <w:r/>
            <w:r>
              <w:rPr>
                <w:b w:val="0"/>
                <w:color w:val="294A63"/>
                <w:sz w:val="17"/>
              </w:rPr>
              <w:t>J-3</w:t>
            </w:r>
          </w:p>
        </w:tc>
        <w:tc>
          <w:tcPr>
            <w:tcW w:type="dxa" w:w="2520"/>
            <w:shd w:fill="F5F9FC"/>
            <w:vAlign w:val="center"/>
          </w:tcPr>
          <w:p>
            <w:pPr>
              <w:jc w:val="center"/>
            </w:pPr>
            <w:r/>
            <w:r>
              <w:rPr>
                <w:b w:val="0"/>
                <w:color w:val="294A63"/>
                <w:sz w:val="17"/>
              </w:rPr>
              <w:t>Ton et cohérence validés</w:t>
            </w:r>
          </w:p>
        </w:tc>
      </w:tr>
      <w:tr>
        <w:tc>
          <w:tcPr>
            <w:tcW w:type="dxa" w:w="2520"/>
            <w:shd w:fill="FFFFFF"/>
            <w:vAlign w:val="center"/>
          </w:tcPr>
          <w:p>
            <w:pPr>
              <w:jc w:val="center"/>
            </w:pPr>
            <w:r/>
            <w:r>
              <w:rPr>
                <w:b w:val="0"/>
                <w:color w:val="294A63"/>
                <w:sz w:val="17"/>
              </w:rPr>
              <w:t>Publication</w:t>
            </w:r>
          </w:p>
        </w:tc>
        <w:tc>
          <w:tcPr>
            <w:tcW w:type="dxa" w:w="2520"/>
            <w:shd w:fill="FFFFFF"/>
            <w:vAlign w:val="center"/>
          </w:tcPr>
          <w:p>
            <w:pPr>
              <w:jc w:val="center"/>
            </w:pPr>
            <w:r/>
            <w:r>
              <w:rPr>
                <w:b w:val="0"/>
                <w:color w:val="294A63"/>
                <w:sz w:val="17"/>
              </w:rPr>
              <w:t>Community manager</w:t>
            </w:r>
          </w:p>
        </w:tc>
        <w:tc>
          <w:tcPr>
            <w:tcW w:type="dxa" w:w="2520"/>
            <w:shd w:fill="FFFFFF"/>
            <w:vAlign w:val="center"/>
          </w:tcPr>
          <w:p>
            <w:pPr>
              <w:jc w:val="center"/>
            </w:pPr>
            <w:r/>
            <w:r>
              <w:rPr>
                <w:b w:val="0"/>
                <w:color w:val="294A63"/>
                <w:sz w:val="17"/>
              </w:rPr>
              <w:t>J0</w:t>
            </w:r>
          </w:p>
        </w:tc>
        <w:tc>
          <w:tcPr>
            <w:tcW w:type="dxa" w:w="2520"/>
            <w:shd w:fill="FFFFFF"/>
            <w:vAlign w:val="center"/>
          </w:tcPr>
          <w:p>
            <w:pPr>
              <w:jc w:val="center"/>
            </w:pPr>
            <w:r/>
            <w:r>
              <w:rPr>
                <w:b w:val="0"/>
                <w:color w:val="294A63"/>
                <w:sz w:val="17"/>
              </w:rPr>
              <w:t>Liens et mesure testés</w:t>
            </w:r>
          </w:p>
        </w:tc>
      </w:tr>
      <w:tr>
        <w:tc>
          <w:tcPr>
            <w:tcW w:type="dxa" w:w="2520"/>
            <w:shd w:fill="F5F9FC"/>
            <w:vAlign w:val="center"/>
          </w:tcPr>
          <w:p>
            <w:pPr>
              <w:jc w:val="center"/>
            </w:pPr>
            <w:r/>
            <w:r>
              <w:rPr>
                <w:b w:val="0"/>
                <w:color w:val="294A63"/>
                <w:sz w:val="17"/>
              </w:rPr>
              <w:t>Bilan</w:t>
            </w:r>
          </w:p>
        </w:tc>
        <w:tc>
          <w:tcPr>
            <w:tcW w:type="dxa" w:w="2520"/>
            <w:shd w:fill="F5F9FC"/>
            <w:vAlign w:val="center"/>
          </w:tcPr>
          <w:p>
            <w:pPr>
              <w:jc w:val="center"/>
            </w:pPr>
            <w:r/>
            <w:r>
              <w:rPr>
                <w:b w:val="0"/>
                <w:color w:val="294A63"/>
                <w:sz w:val="17"/>
              </w:rPr>
              <w:t>Pilote</w:t>
            </w:r>
          </w:p>
        </w:tc>
        <w:tc>
          <w:tcPr>
            <w:tcW w:type="dxa" w:w="2520"/>
            <w:shd w:fill="F5F9FC"/>
            <w:vAlign w:val="center"/>
          </w:tcPr>
          <w:p>
            <w:pPr>
              <w:jc w:val="center"/>
            </w:pPr>
            <w:r/>
            <w:r>
              <w:rPr>
                <w:b w:val="0"/>
                <w:color w:val="294A63"/>
                <w:sz w:val="17"/>
              </w:rPr>
              <w:t>J+14</w:t>
            </w:r>
          </w:p>
        </w:tc>
        <w:tc>
          <w:tcPr>
            <w:tcW w:type="dxa" w:w="2520"/>
            <w:shd w:fill="F5F9FC"/>
            <w:vAlign w:val="center"/>
          </w:tcPr>
          <w:p>
            <w:pPr>
              <w:jc w:val="center"/>
            </w:pPr>
            <w:r/>
            <w:r>
              <w:rPr>
                <w:b w:val="0"/>
                <w:color w:val="294A63"/>
                <w:sz w:val="17"/>
              </w:rPr>
              <w:t>Résultat et décision consignés</w:t>
            </w:r>
          </w:p>
        </w:tc>
      </w:tr>
    </w:tbl>
    <w:p/>
    <w:p>
      <w:pPr>
        <w:pStyle w:val="Heading1"/>
        <w:jc w:val="center"/>
      </w:pPr>
      <w:r>
        <w:rPr>
          <w:color w:val="4EAD78"/>
        </w:rPr>
        <w:t>7. Tableau de bord de communication</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4EAD78"/>
            <w:vAlign w:val="center"/>
          </w:tcPr>
          <w:p>
            <w:pPr>
              <w:jc w:val="center"/>
            </w:pPr>
            <w:r/>
            <w:r>
              <w:rPr>
                <w:b/>
                <w:color w:val="FFFFFF"/>
                <w:sz w:val="18"/>
              </w:rPr>
              <w:t>Niveau</w:t>
            </w:r>
          </w:p>
        </w:tc>
        <w:tc>
          <w:tcPr>
            <w:tcW w:type="dxa" w:w="2520"/>
            <w:shd w:fill="4EAD78"/>
            <w:vAlign w:val="center"/>
          </w:tcPr>
          <w:p>
            <w:pPr>
              <w:jc w:val="center"/>
            </w:pPr>
            <w:r/>
            <w:r>
              <w:rPr>
                <w:b/>
                <w:color w:val="FFFFFF"/>
                <w:sz w:val="18"/>
              </w:rPr>
              <w:t>Indicateur</w:t>
            </w:r>
          </w:p>
        </w:tc>
        <w:tc>
          <w:tcPr>
            <w:tcW w:type="dxa" w:w="2520"/>
            <w:shd w:fill="4EAD78"/>
            <w:vAlign w:val="center"/>
          </w:tcPr>
          <w:p>
            <w:pPr>
              <w:jc w:val="center"/>
            </w:pPr>
            <w:r/>
            <w:r>
              <w:rPr>
                <w:b/>
                <w:color w:val="FFFFFF"/>
                <w:sz w:val="18"/>
              </w:rPr>
              <w:t>Cible</w:t>
            </w:r>
          </w:p>
        </w:tc>
        <w:tc>
          <w:tcPr>
            <w:tcW w:type="dxa" w:w="2520"/>
            <w:shd w:fill="4EAD78"/>
            <w:vAlign w:val="center"/>
          </w:tcPr>
          <w:p>
            <w:pPr>
              <w:jc w:val="center"/>
            </w:pPr>
            <w:r/>
            <w:r>
              <w:rPr>
                <w:b/>
                <w:color w:val="FFFFFF"/>
                <w:sz w:val="18"/>
              </w:rPr>
              <w:t>Lecture</w:t>
            </w:r>
          </w:p>
        </w:tc>
      </w:tr>
      <w:tr>
        <w:tc>
          <w:tcPr>
            <w:tcW w:type="dxa" w:w="2520"/>
            <w:shd w:fill="FFFFFF"/>
            <w:vAlign w:val="center"/>
          </w:tcPr>
          <w:p>
            <w:pPr>
              <w:jc w:val="center"/>
            </w:pPr>
            <w:r/>
            <w:r>
              <w:rPr>
                <w:b w:val="0"/>
                <w:color w:val="294A63"/>
                <w:sz w:val="17"/>
              </w:rPr>
              <w:t>Visibilité</w:t>
            </w:r>
          </w:p>
        </w:tc>
        <w:tc>
          <w:tcPr>
            <w:tcW w:type="dxa" w:w="2520"/>
            <w:shd w:fill="FFFFFF"/>
            <w:vAlign w:val="center"/>
          </w:tcPr>
          <w:p>
            <w:pPr>
              <w:jc w:val="center"/>
            </w:pPr>
            <w:r/>
            <w:r>
              <w:rPr>
                <w:b w:val="0"/>
                <w:color w:val="294A63"/>
                <w:sz w:val="17"/>
              </w:rPr>
              <w:t>Portée qualifiée</w:t>
            </w:r>
          </w:p>
        </w:tc>
        <w:tc>
          <w:tcPr>
            <w:tcW w:type="dxa" w:w="2520"/>
            <w:shd w:fill="FFFFFF"/>
            <w:vAlign w:val="center"/>
          </w:tcPr>
          <w:p>
            <w:pPr>
              <w:jc w:val="center"/>
            </w:pPr>
            <w:r/>
            <w:r>
              <w:rPr>
                <w:b w:val="0"/>
                <w:color w:val="294A63"/>
                <w:sz w:val="17"/>
              </w:rPr>
              <w:t>+20 % / trimestre</w:t>
            </w:r>
          </w:p>
        </w:tc>
        <w:tc>
          <w:tcPr>
            <w:tcW w:type="dxa" w:w="2520"/>
            <w:shd w:fill="FFFFFF"/>
            <w:vAlign w:val="center"/>
          </w:tcPr>
          <w:p>
            <w:pPr>
              <w:jc w:val="center"/>
            </w:pPr>
            <w:r/>
            <w:r>
              <w:rPr>
                <w:b w:val="0"/>
                <w:color w:val="294A63"/>
                <w:sz w:val="17"/>
              </w:rPr>
              <w:t>Présence auprès du bon public</w:t>
            </w:r>
          </w:p>
        </w:tc>
      </w:tr>
      <w:tr>
        <w:tc>
          <w:tcPr>
            <w:tcW w:type="dxa" w:w="2520"/>
            <w:shd w:fill="F5F9FC"/>
            <w:vAlign w:val="center"/>
          </w:tcPr>
          <w:p>
            <w:pPr>
              <w:jc w:val="center"/>
            </w:pPr>
            <w:r/>
            <w:r>
              <w:rPr>
                <w:b w:val="0"/>
                <w:color w:val="294A63"/>
                <w:sz w:val="17"/>
              </w:rPr>
              <w:t>Intérêt</w:t>
            </w:r>
          </w:p>
        </w:tc>
        <w:tc>
          <w:tcPr>
            <w:tcW w:type="dxa" w:w="2520"/>
            <w:shd w:fill="F5F9FC"/>
            <w:vAlign w:val="center"/>
          </w:tcPr>
          <w:p>
            <w:pPr>
              <w:jc w:val="center"/>
            </w:pPr>
            <w:r/>
            <w:r>
              <w:rPr>
                <w:b w:val="0"/>
                <w:color w:val="294A63"/>
                <w:sz w:val="17"/>
              </w:rPr>
              <w:t>Consultation des contenus de preuve</w:t>
            </w:r>
          </w:p>
        </w:tc>
        <w:tc>
          <w:tcPr>
            <w:tcW w:type="dxa" w:w="2520"/>
            <w:shd w:fill="F5F9FC"/>
            <w:vAlign w:val="center"/>
          </w:tcPr>
          <w:p>
            <w:pPr>
              <w:jc w:val="center"/>
            </w:pPr>
            <w:r/>
            <w:r>
              <w:rPr>
                <w:b w:val="0"/>
                <w:color w:val="294A63"/>
                <w:sz w:val="17"/>
              </w:rPr>
              <w:t>500 / mois</w:t>
            </w:r>
          </w:p>
        </w:tc>
        <w:tc>
          <w:tcPr>
            <w:tcW w:type="dxa" w:w="2520"/>
            <w:shd w:fill="F5F9FC"/>
            <w:vAlign w:val="center"/>
          </w:tcPr>
          <w:p>
            <w:pPr>
              <w:jc w:val="center"/>
            </w:pPr>
            <w:r/>
            <w:r>
              <w:rPr>
                <w:b w:val="0"/>
                <w:color w:val="294A63"/>
                <w:sz w:val="17"/>
              </w:rPr>
              <w:t>Crédibilité</w:t>
            </w:r>
          </w:p>
        </w:tc>
      </w:tr>
      <w:tr>
        <w:tc>
          <w:tcPr>
            <w:tcW w:type="dxa" w:w="2520"/>
            <w:shd w:fill="FFFFFF"/>
            <w:vAlign w:val="center"/>
          </w:tcPr>
          <w:p>
            <w:pPr>
              <w:jc w:val="center"/>
            </w:pPr>
            <w:r/>
            <w:r>
              <w:rPr>
                <w:b w:val="0"/>
                <w:color w:val="294A63"/>
                <w:sz w:val="17"/>
              </w:rPr>
              <w:t>Action</w:t>
            </w:r>
          </w:p>
        </w:tc>
        <w:tc>
          <w:tcPr>
            <w:tcW w:type="dxa" w:w="2520"/>
            <w:shd w:fill="FFFFFF"/>
            <w:vAlign w:val="center"/>
          </w:tcPr>
          <w:p>
            <w:pPr>
              <w:jc w:val="center"/>
            </w:pPr>
            <w:r/>
            <w:r>
              <w:rPr>
                <w:b w:val="0"/>
                <w:color w:val="294A63"/>
                <w:sz w:val="17"/>
              </w:rPr>
              <w:t>Téléchargements et rendez-vous</w:t>
            </w:r>
          </w:p>
        </w:tc>
        <w:tc>
          <w:tcPr>
            <w:tcW w:type="dxa" w:w="2520"/>
            <w:shd w:fill="FFFFFF"/>
            <w:vAlign w:val="center"/>
          </w:tcPr>
          <w:p>
            <w:pPr>
              <w:jc w:val="center"/>
            </w:pPr>
            <w:r/>
            <w:r>
              <w:rPr>
                <w:b w:val="0"/>
                <w:color w:val="294A63"/>
                <w:sz w:val="17"/>
              </w:rPr>
              <w:t>60 / mois</w:t>
            </w:r>
          </w:p>
        </w:tc>
        <w:tc>
          <w:tcPr>
            <w:tcW w:type="dxa" w:w="2520"/>
            <w:shd w:fill="FFFFFF"/>
            <w:vAlign w:val="center"/>
          </w:tcPr>
          <w:p>
            <w:pPr>
              <w:jc w:val="center"/>
            </w:pPr>
            <w:r/>
            <w:r>
              <w:rPr>
                <w:b w:val="0"/>
                <w:color w:val="294A63"/>
                <w:sz w:val="17"/>
              </w:rPr>
              <w:t>Conversion</w:t>
            </w:r>
          </w:p>
        </w:tc>
      </w:tr>
      <w:tr>
        <w:tc>
          <w:tcPr>
            <w:tcW w:type="dxa" w:w="2520"/>
            <w:shd w:fill="F5F9FC"/>
            <w:vAlign w:val="center"/>
          </w:tcPr>
          <w:p>
            <w:pPr>
              <w:jc w:val="center"/>
            </w:pPr>
            <w:r/>
            <w:r>
              <w:rPr>
                <w:b w:val="0"/>
                <w:color w:val="294A63"/>
                <w:sz w:val="17"/>
              </w:rPr>
              <w:t>Qualité</w:t>
            </w:r>
          </w:p>
        </w:tc>
        <w:tc>
          <w:tcPr>
            <w:tcW w:type="dxa" w:w="2520"/>
            <w:shd w:fill="F5F9FC"/>
            <w:vAlign w:val="center"/>
          </w:tcPr>
          <w:p>
            <w:pPr>
              <w:jc w:val="center"/>
            </w:pPr>
            <w:r/>
            <w:r>
              <w:rPr>
                <w:b w:val="0"/>
                <w:color w:val="294A63"/>
                <w:sz w:val="17"/>
              </w:rPr>
              <w:t>Leads acceptés par les ventes</w:t>
            </w:r>
          </w:p>
        </w:tc>
        <w:tc>
          <w:tcPr>
            <w:tcW w:type="dxa" w:w="2520"/>
            <w:shd w:fill="F5F9FC"/>
            <w:vAlign w:val="center"/>
          </w:tcPr>
          <w:p>
            <w:pPr>
              <w:jc w:val="center"/>
            </w:pPr>
            <w:r/>
            <w:r>
              <w:rPr>
                <w:b w:val="0"/>
                <w:color w:val="294A63"/>
                <w:sz w:val="17"/>
              </w:rPr>
              <w:t>≥ 75 %</w:t>
            </w:r>
          </w:p>
        </w:tc>
        <w:tc>
          <w:tcPr>
            <w:tcW w:type="dxa" w:w="2520"/>
            <w:shd w:fill="F5F9FC"/>
            <w:vAlign w:val="center"/>
          </w:tcPr>
          <w:p>
            <w:pPr>
              <w:jc w:val="center"/>
            </w:pPr>
            <w:r/>
            <w:r>
              <w:rPr>
                <w:b w:val="0"/>
                <w:color w:val="294A63"/>
                <w:sz w:val="17"/>
              </w:rPr>
              <w:t>Alignement business</w:t>
            </w:r>
          </w:p>
        </w:tc>
      </w:tr>
    </w:tbl>
    <w:p/>
    <w:p>
      <w:pPr>
        <w:pStyle w:val="Heading1"/>
        <w:jc w:val="center"/>
      </w:pPr>
      <w:r>
        <w:rPr>
          <w:color w:val="4EAD78"/>
        </w:rPr>
        <w:t>8. Matrice formats-canaux</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4EAD78"/>
            <w:vAlign w:val="center"/>
          </w:tcPr>
          <w:p>
            <w:pPr>
              <w:jc w:val="center"/>
            </w:pPr>
            <w:r/>
            <w:r>
              <w:rPr>
                <w:b/>
                <w:color w:val="FFFFFF"/>
                <w:sz w:val="18"/>
              </w:rPr>
              <w:t>Idée source</w:t>
            </w:r>
          </w:p>
        </w:tc>
        <w:tc>
          <w:tcPr>
            <w:tcW w:type="dxa" w:w="2016"/>
            <w:shd w:fill="4EAD78"/>
            <w:vAlign w:val="center"/>
          </w:tcPr>
          <w:p>
            <w:pPr>
              <w:jc w:val="center"/>
            </w:pPr>
            <w:r/>
            <w:r>
              <w:rPr>
                <w:b/>
                <w:color w:val="FFFFFF"/>
                <w:sz w:val="18"/>
              </w:rPr>
              <w:t>Format long</w:t>
            </w:r>
          </w:p>
        </w:tc>
        <w:tc>
          <w:tcPr>
            <w:tcW w:type="dxa" w:w="2016"/>
            <w:shd w:fill="4EAD78"/>
            <w:vAlign w:val="center"/>
          </w:tcPr>
          <w:p>
            <w:pPr>
              <w:jc w:val="center"/>
            </w:pPr>
            <w:r/>
            <w:r>
              <w:rPr>
                <w:b/>
                <w:color w:val="FFFFFF"/>
                <w:sz w:val="18"/>
              </w:rPr>
              <w:t>Déclinaisons</w:t>
            </w:r>
          </w:p>
        </w:tc>
        <w:tc>
          <w:tcPr>
            <w:tcW w:type="dxa" w:w="2016"/>
            <w:shd w:fill="4EAD78"/>
            <w:vAlign w:val="center"/>
          </w:tcPr>
          <w:p>
            <w:pPr>
              <w:jc w:val="center"/>
            </w:pPr>
            <w:r/>
            <w:r>
              <w:rPr>
                <w:b/>
                <w:color w:val="FFFFFF"/>
                <w:sz w:val="18"/>
              </w:rPr>
              <w:t>Durée de vie</w:t>
            </w:r>
          </w:p>
        </w:tc>
        <w:tc>
          <w:tcPr>
            <w:tcW w:type="dxa" w:w="2016"/>
            <w:shd w:fill="4EAD78"/>
            <w:vAlign w:val="center"/>
          </w:tcPr>
          <w:p>
            <w:pPr>
              <w:jc w:val="center"/>
            </w:pPr>
            <w:r/>
            <w:r>
              <w:rPr>
                <w:b/>
                <w:color w:val="FFFFFF"/>
                <w:sz w:val="18"/>
              </w:rPr>
              <w:t>Réemploi</w:t>
            </w:r>
          </w:p>
        </w:tc>
      </w:tr>
      <w:tr>
        <w:tc>
          <w:tcPr>
            <w:tcW w:type="dxa" w:w="2016"/>
            <w:shd w:fill="FFFFFF"/>
            <w:vAlign w:val="center"/>
          </w:tcPr>
          <w:p>
            <w:pPr>
              <w:jc w:val="center"/>
            </w:pPr>
            <w:r/>
            <w:r>
              <w:rPr>
                <w:b w:val="0"/>
                <w:color w:val="294A63"/>
                <w:sz w:val="17"/>
              </w:rPr>
              <w:t>Étude sectorielle</w:t>
            </w:r>
          </w:p>
        </w:tc>
        <w:tc>
          <w:tcPr>
            <w:tcW w:type="dxa" w:w="2016"/>
            <w:shd w:fill="FFFFFF"/>
            <w:vAlign w:val="center"/>
          </w:tcPr>
          <w:p>
            <w:pPr>
              <w:jc w:val="center"/>
            </w:pPr>
            <w:r/>
            <w:r>
              <w:rPr>
                <w:b w:val="0"/>
                <w:color w:val="294A63"/>
                <w:sz w:val="17"/>
              </w:rPr>
              <w:t>Article expert</w:t>
            </w:r>
          </w:p>
        </w:tc>
        <w:tc>
          <w:tcPr>
            <w:tcW w:type="dxa" w:w="2016"/>
            <w:shd w:fill="FFFFFF"/>
            <w:vAlign w:val="center"/>
          </w:tcPr>
          <w:p>
            <w:pPr>
              <w:jc w:val="center"/>
            </w:pPr>
            <w:r/>
            <w:r>
              <w:rPr>
                <w:b w:val="0"/>
                <w:color w:val="294A63"/>
                <w:sz w:val="17"/>
              </w:rPr>
              <w:t>Carrousel, e-mail, vidéo courte</w:t>
            </w:r>
          </w:p>
        </w:tc>
        <w:tc>
          <w:tcPr>
            <w:tcW w:type="dxa" w:w="2016"/>
            <w:shd w:fill="FFFFFF"/>
            <w:vAlign w:val="center"/>
          </w:tcPr>
          <w:p>
            <w:pPr>
              <w:jc w:val="center"/>
            </w:pPr>
            <w:r/>
            <w:r>
              <w:rPr>
                <w:b w:val="0"/>
                <w:color w:val="294A63"/>
                <w:sz w:val="17"/>
              </w:rPr>
              <w:t>6 mois</w:t>
            </w:r>
          </w:p>
        </w:tc>
        <w:tc>
          <w:tcPr>
            <w:tcW w:type="dxa" w:w="2016"/>
            <w:shd w:fill="FFFFFF"/>
            <w:vAlign w:val="center"/>
          </w:tcPr>
          <w:p>
            <w:pPr>
              <w:jc w:val="center"/>
            </w:pPr>
            <w:r/>
            <w:r>
              <w:rPr>
                <w:b w:val="0"/>
                <w:color w:val="294A63"/>
                <w:sz w:val="17"/>
              </w:rPr>
              <w:t>Mise à jour trimestrielle</w:t>
            </w:r>
          </w:p>
        </w:tc>
      </w:tr>
      <w:tr>
        <w:tc>
          <w:tcPr>
            <w:tcW w:type="dxa" w:w="2016"/>
            <w:shd w:fill="F5F9FC"/>
            <w:vAlign w:val="center"/>
          </w:tcPr>
          <w:p>
            <w:pPr>
              <w:jc w:val="center"/>
            </w:pPr>
            <w:r/>
            <w:r>
              <w:rPr>
                <w:b w:val="0"/>
                <w:color w:val="294A63"/>
                <w:sz w:val="17"/>
              </w:rPr>
              <w:t>Cas client</w:t>
            </w:r>
          </w:p>
        </w:tc>
        <w:tc>
          <w:tcPr>
            <w:tcW w:type="dxa" w:w="2016"/>
            <w:shd w:fill="F5F9FC"/>
            <w:vAlign w:val="center"/>
          </w:tcPr>
          <w:p>
            <w:pPr>
              <w:jc w:val="center"/>
            </w:pPr>
            <w:r/>
            <w:r>
              <w:rPr>
                <w:b w:val="0"/>
                <w:color w:val="294A63"/>
                <w:sz w:val="17"/>
              </w:rPr>
              <w:t>Dossier de preuve</w:t>
            </w:r>
          </w:p>
        </w:tc>
        <w:tc>
          <w:tcPr>
            <w:tcW w:type="dxa" w:w="2016"/>
            <w:shd w:fill="F5F9FC"/>
            <w:vAlign w:val="center"/>
          </w:tcPr>
          <w:p>
            <w:pPr>
              <w:jc w:val="center"/>
            </w:pPr>
            <w:r/>
            <w:r>
              <w:rPr>
                <w:b w:val="0"/>
                <w:color w:val="294A63"/>
                <w:sz w:val="17"/>
              </w:rPr>
              <w:t>Citation, graphique, webinaire</w:t>
            </w:r>
          </w:p>
        </w:tc>
        <w:tc>
          <w:tcPr>
            <w:tcW w:type="dxa" w:w="2016"/>
            <w:shd w:fill="F5F9FC"/>
            <w:vAlign w:val="center"/>
          </w:tcPr>
          <w:p>
            <w:pPr>
              <w:jc w:val="center"/>
            </w:pPr>
            <w:r/>
            <w:r>
              <w:rPr>
                <w:b w:val="0"/>
                <w:color w:val="294A63"/>
                <w:sz w:val="17"/>
              </w:rPr>
              <w:t>12 mois</w:t>
            </w:r>
          </w:p>
        </w:tc>
        <w:tc>
          <w:tcPr>
            <w:tcW w:type="dxa" w:w="2016"/>
            <w:shd w:fill="F5F9FC"/>
            <w:vAlign w:val="center"/>
          </w:tcPr>
          <w:p>
            <w:pPr>
              <w:jc w:val="center"/>
            </w:pPr>
            <w:r/>
            <w:r>
              <w:rPr>
                <w:b w:val="0"/>
                <w:color w:val="294A63"/>
                <w:sz w:val="17"/>
              </w:rPr>
              <w:t>Adaptation par secteur</w:t>
            </w:r>
          </w:p>
        </w:tc>
      </w:tr>
      <w:tr>
        <w:tc>
          <w:tcPr>
            <w:tcW w:type="dxa" w:w="2016"/>
            <w:shd w:fill="FFFFFF"/>
            <w:vAlign w:val="center"/>
          </w:tcPr>
          <w:p>
            <w:pPr>
              <w:jc w:val="center"/>
            </w:pPr>
            <w:r/>
            <w:r>
              <w:rPr>
                <w:b w:val="0"/>
                <w:color w:val="294A63"/>
                <w:sz w:val="17"/>
              </w:rPr>
              <w:t>Méthode interne</w:t>
            </w:r>
          </w:p>
        </w:tc>
        <w:tc>
          <w:tcPr>
            <w:tcW w:type="dxa" w:w="2016"/>
            <w:shd w:fill="FFFFFF"/>
            <w:vAlign w:val="center"/>
          </w:tcPr>
          <w:p>
            <w:pPr>
              <w:jc w:val="center"/>
            </w:pPr>
            <w:r/>
            <w:r>
              <w:rPr>
                <w:b w:val="0"/>
                <w:color w:val="294A63"/>
                <w:sz w:val="17"/>
              </w:rPr>
              <w:t>Guide pratique</w:t>
            </w:r>
          </w:p>
        </w:tc>
        <w:tc>
          <w:tcPr>
            <w:tcW w:type="dxa" w:w="2016"/>
            <w:shd w:fill="FFFFFF"/>
            <w:vAlign w:val="center"/>
          </w:tcPr>
          <w:p>
            <w:pPr>
              <w:jc w:val="center"/>
            </w:pPr>
            <w:r/>
            <w:r>
              <w:rPr>
                <w:b w:val="0"/>
                <w:color w:val="294A63"/>
                <w:sz w:val="17"/>
              </w:rPr>
              <w:t>Checklist, post, atelier</w:t>
            </w:r>
          </w:p>
        </w:tc>
        <w:tc>
          <w:tcPr>
            <w:tcW w:type="dxa" w:w="2016"/>
            <w:shd w:fill="FFFFFF"/>
            <w:vAlign w:val="center"/>
          </w:tcPr>
          <w:p>
            <w:pPr>
              <w:jc w:val="center"/>
            </w:pPr>
            <w:r/>
            <w:r>
              <w:rPr>
                <w:b w:val="0"/>
                <w:color w:val="294A63"/>
                <w:sz w:val="17"/>
              </w:rPr>
              <w:t>9 mois</w:t>
            </w:r>
          </w:p>
        </w:tc>
        <w:tc>
          <w:tcPr>
            <w:tcW w:type="dxa" w:w="2016"/>
            <w:shd w:fill="FFFFFF"/>
            <w:vAlign w:val="center"/>
          </w:tcPr>
          <w:p>
            <w:pPr>
              <w:jc w:val="center"/>
            </w:pPr>
            <w:r/>
            <w:r>
              <w:rPr>
                <w:b w:val="0"/>
                <w:color w:val="294A63"/>
                <w:sz w:val="17"/>
              </w:rPr>
              <w:t>Séquence de nurturing</w:t>
            </w:r>
          </w:p>
        </w:tc>
      </w:tr>
    </w:tbl>
    <w:p/>
    <w:p>
      <w:pPr>
        <w:pStyle w:val="Heading1"/>
        <w:jc w:val="center"/>
      </w:pPr>
      <w:r>
        <w:rPr>
          <w:color w:val="4EAD78"/>
        </w:rPr>
        <w:t>9. Gestion des situations sensibles</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4EAD78"/>
            <w:vAlign w:val="center"/>
          </w:tcPr>
          <w:p>
            <w:pPr>
              <w:jc w:val="center"/>
            </w:pPr>
            <w:r/>
            <w:r>
              <w:rPr>
                <w:b/>
                <w:color w:val="FFFFFF"/>
                <w:sz w:val="18"/>
              </w:rPr>
              <w:t>Situation</w:t>
            </w:r>
          </w:p>
        </w:tc>
        <w:tc>
          <w:tcPr>
            <w:tcW w:type="dxa" w:w="2520"/>
            <w:shd w:fill="4EAD78"/>
            <w:vAlign w:val="center"/>
          </w:tcPr>
          <w:p>
            <w:pPr>
              <w:jc w:val="center"/>
            </w:pPr>
            <w:r/>
            <w:r>
              <w:rPr>
                <w:b/>
                <w:color w:val="FFFFFF"/>
                <w:sz w:val="18"/>
              </w:rPr>
              <w:t>Réponse initiale</w:t>
            </w:r>
          </w:p>
        </w:tc>
        <w:tc>
          <w:tcPr>
            <w:tcW w:type="dxa" w:w="2520"/>
            <w:shd w:fill="4EAD78"/>
            <w:vAlign w:val="center"/>
          </w:tcPr>
          <w:p>
            <w:pPr>
              <w:jc w:val="center"/>
            </w:pPr>
            <w:r/>
            <w:r>
              <w:rPr>
                <w:b/>
                <w:color w:val="FFFFFF"/>
                <w:sz w:val="18"/>
              </w:rPr>
              <w:t>Escalade</w:t>
            </w:r>
          </w:p>
        </w:tc>
        <w:tc>
          <w:tcPr>
            <w:tcW w:type="dxa" w:w="2520"/>
            <w:shd w:fill="4EAD78"/>
            <w:vAlign w:val="center"/>
          </w:tcPr>
          <w:p>
            <w:pPr>
              <w:jc w:val="center"/>
            </w:pPr>
            <w:r/>
            <w:r>
              <w:rPr>
                <w:b/>
                <w:color w:val="FFFFFF"/>
                <w:sz w:val="18"/>
              </w:rPr>
              <w:t>Délai</w:t>
            </w:r>
          </w:p>
        </w:tc>
      </w:tr>
      <w:tr>
        <w:tc>
          <w:tcPr>
            <w:tcW w:type="dxa" w:w="2520"/>
            <w:shd w:fill="FFFFFF"/>
            <w:vAlign w:val="center"/>
          </w:tcPr>
          <w:p>
            <w:pPr>
              <w:jc w:val="center"/>
            </w:pPr>
            <w:r/>
            <w:r>
              <w:rPr>
                <w:b w:val="0"/>
                <w:color w:val="294A63"/>
                <w:sz w:val="17"/>
              </w:rPr>
              <w:t>Erreur factuelle publiée</w:t>
            </w:r>
          </w:p>
        </w:tc>
        <w:tc>
          <w:tcPr>
            <w:tcW w:type="dxa" w:w="2520"/>
            <w:shd w:fill="FFFFFF"/>
            <w:vAlign w:val="center"/>
          </w:tcPr>
          <w:p>
            <w:pPr>
              <w:jc w:val="center"/>
            </w:pPr>
            <w:r/>
            <w:r>
              <w:rPr>
                <w:b w:val="0"/>
                <w:color w:val="294A63"/>
                <w:sz w:val="17"/>
              </w:rPr>
              <w:t>Corriger et signaler clairement</w:t>
            </w:r>
          </w:p>
        </w:tc>
        <w:tc>
          <w:tcPr>
            <w:tcW w:type="dxa" w:w="2520"/>
            <w:shd w:fill="FFFFFF"/>
            <w:vAlign w:val="center"/>
          </w:tcPr>
          <w:p>
            <w:pPr>
              <w:jc w:val="center"/>
            </w:pPr>
            <w:r/>
            <w:r>
              <w:rPr>
                <w:b w:val="0"/>
                <w:color w:val="294A63"/>
                <w:sz w:val="17"/>
              </w:rPr>
              <w:t>Expert métier</w:t>
            </w:r>
          </w:p>
        </w:tc>
        <w:tc>
          <w:tcPr>
            <w:tcW w:type="dxa" w:w="2520"/>
            <w:shd w:fill="FFFFFF"/>
            <w:vAlign w:val="center"/>
          </w:tcPr>
          <w:p>
            <w:pPr>
              <w:jc w:val="center"/>
            </w:pPr>
            <w:r/>
            <w:r>
              <w:rPr>
                <w:b w:val="0"/>
                <w:color w:val="294A63"/>
                <w:sz w:val="17"/>
              </w:rPr>
              <w:t>2 heures</w:t>
            </w:r>
          </w:p>
        </w:tc>
      </w:tr>
      <w:tr>
        <w:tc>
          <w:tcPr>
            <w:tcW w:type="dxa" w:w="2520"/>
            <w:shd w:fill="F5F9FC"/>
            <w:vAlign w:val="center"/>
          </w:tcPr>
          <w:p>
            <w:pPr>
              <w:jc w:val="center"/>
            </w:pPr>
            <w:r/>
            <w:r>
              <w:rPr>
                <w:b w:val="0"/>
                <w:color w:val="294A63"/>
                <w:sz w:val="17"/>
              </w:rPr>
              <w:t>Commentaire critique argumenté</w:t>
            </w:r>
          </w:p>
        </w:tc>
        <w:tc>
          <w:tcPr>
            <w:tcW w:type="dxa" w:w="2520"/>
            <w:shd w:fill="F5F9FC"/>
            <w:vAlign w:val="center"/>
          </w:tcPr>
          <w:p>
            <w:pPr>
              <w:jc w:val="center"/>
            </w:pPr>
            <w:r/>
            <w:r>
              <w:rPr>
                <w:b w:val="0"/>
                <w:color w:val="294A63"/>
                <w:sz w:val="17"/>
              </w:rPr>
              <w:t>Répondre avec faits et solution</w:t>
            </w:r>
          </w:p>
        </w:tc>
        <w:tc>
          <w:tcPr>
            <w:tcW w:type="dxa" w:w="2520"/>
            <w:shd w:fill="F5F9FC"/>
            <w:vAlign w:val="center"/>
          </w:tcPr>
          <w:p>
            <w:pPr>
              <w:jc w:val="center"/>
            </w:pPr>
            <w:r/>
            <w:r>
              <w:rPr>
                <w:b w:val="0"/>
                <w:color w:val="294A63"/>
                <w:sz w:val="17"/>
              </w:rPr>
              <w:t>Communication</w:t>
            </w:r>
          </w:p>
        </w:tc>
        <w:tc>
          <w:tcPr>
            <w:tcW w:type="dxa" w:w="2520"/>
            <w:shd w:fill="F5F9FC"/>
            <w:vAlign w:val="center"/>
          </w:tcPr>
          <w:p>
            <w:pPr>
              <w:jc w:val="center"/>
            </w:pPr>
            <w:r/>
            <w:r>
              <w:rPr>
                <w:b w:val="0"/>
                <w:color w:val="294A63"/>
                <w:sz w:val="17"/>
              </w:rPr>
              <w:t>4 heures</w:t>
            </w:r>
          </w:p>
        </w:tc>
      </w:tr>
      <w:tr>
        <w:tc>
          <w:tcPr>
            <w:tcW w:type="dxa" w:w="2520"/>
            <w:shd w:fill="FFFFFF"/>
            <w:vAlign w:val="center"/>
          </w:tcPr>
          <w:p>
            <w:pPr>
              <w:jc w:val="center"/>
            </w:pPr>
            <w:r/>
            <w:r>
              <w:rPr>
                <w:b w:val="0"/>
                <w:color w:val="294A63"/>
                <w:sz w:val="17"/>
              </w:rPr>
              <w:t>Incident client public</w:t>
            </w:r>
          </w:p>
        </w:tc>
        <w:tc>
          <w:tcPr>
            <w:tcW w:type="dxa" w:w="2520"/>
            <w:shd w:fill="FFFFFF"/>
            <w:vAlign w:val="center"/>
          </w:tcPr>
          <w:p>
            <w:pPr>
              <w:jc w:val="center"/>
            </w:pPr>
            <w:r/>
            <w:r>
              <w:rPr>
                <w:b w:val="0"/>
                <w:color w:val="294A63"/>
                <w:sz w:val="17"/>
              </w:rPr>
              <w:t>Accuser réception sans exposer les données</w:t>
            </w:r>
          </w:p>
        </w:tc>
        <w:tc>
          <w:tcPr>
            <w:tcW w:type="dxa" w:w="2520"/>
            <w:shd w:fill="FFFFFF"/>
            <w:vAlign w:val="center"/>
          </w:tcPr>
          <w:p>
            <w:pPr>
              <w:jc w:val="center"/>
            </w:pPr>
            <w:r/>
            <w:r>
              <w:rPr>
                <w:b w:val="0"/>
                <w:color w:val="294A63"/>
                <w:sz w:val="17"/>
              </w:rPr>
              <w:t>Direction + juridique</w:t>
            </w:r>
          </w:p>
        </w:tc>
        <w:tc>
          <w:tcPr>
            <w:tcW w:type="dxa" w:w="2520"/>
            <w:shd w:fill="FFFFFF"/>
            <w:vAlign w:val="center"/>
          </w:tcPr>
          <w:p>
            <w:pPr>
              <w:jc w:val="center"/>
            </w:pPr>
            <w:r/>
            <w:r>
              <w:rPr>
                <w:b w:val="0"/>
                <w:color w:val="294A63"/>
                <w:sz w:val="17"/>
              </w:rPr>
              <w:t>1 heure</w:t>
            </w:r>
          </w:p>
        </w:tc>
      </w:tr>
      <w:tr>
        <w:tc>
          <w:tcPr>
            <w:tcW w:type="dxa" w:w="2520"/>
            <w:shd w:fill="F5F9FC"/>
            <w:vAlign w:val="center"/>
          </w:tcPr>
          <w:p>
            <w:pPr>
              <w:jc w:val="center"/>
            </w:pPr>
            <w:r/>
            <w:r>
              <w:rPr>
                <w:b w:val="0"/>
                <w:color w:val="294A63"/>
                <w:sz w:val="17"/>
              </w:rPr>
              <w:t>Rumeur ou attaque coordonnée</w:t>
            </w:r>
          </w:p>
        </w:tc>
        <w:tc>
          <w:tcPr>
            <w:tcW w:type="dxa" w:w="2520"/>
            <w:shd w:fill="F5F9FC"/>
            <w:vAlign w:val="center"/>
          </w:tcPr>
          <w:p>
            <w:pPr>
              <w:jc w:val="center"/>
            </w:pPr>
            <w:r/>
            <w:r>
              <w:rPr>
                <w:b w:val="0"/>
                <w:color w:val="294A63"/>
                <w:sz w:val="17"/>
              </w:rPr>
              <w:t>Conserver les preuves, centraliser la parole</w:t>
            </w:r>
          </w:p>
        </w:tc>
        <w:tc>
          <w:tcPr>
            <w:tcW w:type="dxa" w:w="2520"/>
            <w:shd w:fill="F5F9FC"/>
            <w:vAlign w:val="center"/>
          </w:tcPr>
          <w:p>
            <w:pPr>
              <w:jc w:val="center"/>
            </w:pPr>
            <w:r/>
            <w:r>
              <w:rPr>
                <w:b w:val="0"/>
                <w:color w:val="294A63"/>
                <w:sz w:val="17"/>
              </w:rPr>
              <w:t>Direction</w:t>
            </w:r>
          </w:p>
        </w:tc>
        <w:tc>
          <w:tcPr>
            <w:tcW w:type="dxa" w:w="2520"/>
            <w:shd w:fill="F5F9FC"/>
            <w:vAlign w:val="center"/>
          </w:tcPr>
          <w:p>
            <w:pPr>
              <w:jc w:val="center"/>
            </w:pPr>
            <w:r/>
            <w:r>
              <w:rPr>
                <w:b w:val="0"/>
                <w:color w:val="294A63"/>
                <w:sz w:val="17"/>
              </w:rPr>
              <w:t>Immédiat</w:t>
            </w:r>
          </w:p>
        </w:tc>
      </w:tr>
    </w:tbl>
    <w:p/>
    <w:p>
      <w:pPr>
        <w:pStyle w:val="Heading1"/>
        <w:jc w:val="center"/>
      </w:pPr>
      <w:r>
        <w:rPr>
          <w:color w:val="4EAD78"/>
        </w:rPr>
        <w:t>10. Brief éditorial prêt à l’emploi</w:t>
      </w:r>
    </w:p>
    <w:tbl>
      <w:tblPr>
        <w:tblW w:type="auto" w:w="0"/>
        <w:jc w:val="center"/>
        <w:tblLayout w:type="autofit"/>
        <w:tblLook w:firstColumn="1" w:firstRow="1" w:lastColumn="0" w:lastRow="0" w:noHBand="0" w:noVBand="1" w:val="04A0"/>
      </w:tblPr>
      <w:tblGrid>
        <w:gridCol w:w="5040"/>
        <w:gridCol w:w="5040"/>
      </w:tblGrid>
      <w:tr>
        <w:tc>
          <w:tcPr>
            <w:tcW w:type="dxa" w:w="5040"/>
            <w:shd w:fill="4EAD78"/>
            <w:vAlign w:val="center"/>
          </w:tcPr>
          <w:p>
            <w:pPr>
              <w:jc w:val="center"/>
            </w:pPr>
            <w:r/>
            <w:r>
              <w:rPr>
                <w:b/>
                <w:color w:val="FFFFFF"/>
                <w:sz w:val="18"/>
              </w:rPr>
              <w:t>Champ</w:t>
            </w:r>
          </w:p>
        </w:tc>
        <w:tc>
          <w:tcPr>
            <w:tcW w:type="dxa" w:w="5040"/>
            <w:shd w:fill="4EAD78"/>
            <w:vAlign w:val="center"/>
          </w:tcPr>
          <w:p>
            <w:pPr>
              <w:jc w:val="center"/>
            </w:pPr>
            <w:r/>
            <w:r>
              <w:rPr>
                <w:b/>
                <w:color w:val="FFFFFF"/>
                <w:sz w:val="18"/>
              </w:rPr>
              <w:t>Exemple renseigné</w:t>
            </w:r>
          </w:p>
        </w:tc>
      </w:tr>
      <w:tr>
        <w:tc>
          <w:tcPr>
            <w:tcW w:type="dxa" w:w="5040"/>
            <w:shd w:fill="FFFFFF"/>
            <w:vAlign w:val="center"/>
          </w:tcPr>
          <w:p>
            <w:pPr>
              <w:jc w:val="center"/>
            </w:pPr>
            <w:r/>
            <w:r>
              <w:rPr>
                <w:b w:val="0"/>
                <w:color w:val="294A63"/>
                <w:sz w:val="17"/>
              </w:rPr>
              <w:t>Objectif</w:t>
            </w:r>
          </w:p>
        </w:tc>
        <w:tc>
          <w:tcPr>
            <w:tcW w:type="dxa" w:w="5040"/>
            <w:shd w:fill="FFFFFF"/>
            <w:vAlign w:val="center"/>
          </w:tcPr>
          <w:p>
            <w:pPr>
              <w:jc w:val="center"/>
            </w:pPr>
            <w:r/>
            <w:r>
              <w:rPr>
                <w:b w:val="0"/>
                <w:color w:val="294A63"/>
                <w:sz w:val="17"/>
              </w:rPr>
              <w:t>Obtenir 40 téléchargements qualifiés en 30 jours</w:t>
            </w:r>
          </w:p>
        </w:tc>
      </w:tr>
      <w:tr>
        <w:tc>
          <w:tcPr>
            <w:tcW w:type="dxa" w:w="5040"/>
            <w:shd w:fill="F5F9FC"/>
            <w:vAlign w:val="center"/>
          </w:tcPr>
          <w:p>
            <w:pPr>
              <w:jc w:val="center"/>
            </w:pPr>
            <w:r/>
            <w:r>
              <w:rPr>
                <w:b w:val="0"/>
                <w:color w:val="294A63"/>
                <w:sz w:val="17"/>
              </w:rPr>
              <w:t>Public</w:t>
            </w:r>
          </w:p>
        </w:tc>
        <w:tc>
          <w:tcPr>
            <w:tcW w:type="dxa" w:w="5040"/>
            <w:shd w:fill="F5F9FC"/>
            <w:vAlign w:val="center"/>
          </w:tcPr>
          <w:p>
            <w:pPr>
              <w:jc w:val="center"/>
            </w:pPr>
            <w:r/>
            <w:r>
              <w:rPr>
                <w:b w:val="0"/>
                <w:color w:val="294A63"/>
                <w:sz w:val="17"/>
              </w:rPr>
              <w:t>Responsables marketing de PME structurées</w:t>
            </w:r>
          </w:p>
        </w:tc>
      </w:tr>
      <w:tr>
        <w:tc>
          <w:tcPr>
            <w:tcW w:type="dxa" w:w="5040"/>
            <w:shd w:fill="FFFFFF"/>
            <w:vAlign w:val="center"/>
          </w:tcPr>
          <w:p>
            <w:pPr>
              <w:jc w:val="center"/>
            </w:pPr>
            <w:r/>
            <w:r>
              <w:rPr>
                <w:b w:val="0"/>
                <w:color w:val="294A63"/>
                <w:sz w:val="17"/>
              </w:rPr>
              <w:t>Promesse</w:t>
            </w:r>
          </w:p>
        </w:tc>
        <w:tc>
          <w:tcPr>
            <w:tcW w:type="dxa" w:w="5040"/>
            <w:shd w:fill="FFFFFF"/>
            <w:vAlign w:val="center"/>
          </w:tcPr>
          <w:p>
            <w:pPr>
              <w:jc w:val="center"/>
            </w:pPr>
            <w:r/>
            <w:r>
              <w:rPr>
                <w:b w:val="0"/>
                <w:color w:val="294A63"/>
                <w:sz w:val="17"/>
              </w:rPr>
              <w:t>Choisir cinq KPI qui déclenchent une décision</w:t>
            </w:r>
          </w:p>
        </w:tc>
      </w:tr>
      <w:tr>
        <w:tc>
          <w:tcPr>
            <w:tcW w:type="dxa" w:w="5040"/>
            <w:shd w:fill="F5F9FC"/>
            <w:vAlign w:val="center"/>
          </w:tcPr>
          <w:p>
            <w:pPr>
              <w:jc w:val="center"/>
            </w:pPr>
            <w:r/>
            <w:r>
              <w:rPr>
                <w:b w:val="0"/>
                <w:color w:val="294A63"/>
                <w:sz w:val="17"/>
              </w:rPr>
              <w:t>Preuves</w:t>
            </w:r>
          </w:p>
        </w:tc>
        <w:tc>
          <w:tcPr>
            <w:tcW w:type="dxa" w:w="5040"/>
            <w:shd w:fill="F5F9FC"/>
            <w:vAlign w:val="center"/>
          </w:tcPr>
          <w:p>
            <w:pPr>
              <w:jc w:val="center"/>
            </w:pPr>
            <w:r/>
            <w:r>
              <w:rPr>
                <w:b w:val="0"/>
                <w:color w:val="294A63"/>
                <w:sz w:val="17"/>
              </w:rPr>
              <w:t>Exemple chiffré, capture du dashboard, méthode en quatre étapes</w:t>
            </w:r>
          </w:p>
        </w:tc>
      </w:tr>
      <w:tr>
        <w:tc>
          <w:tcPr>
            <w:tcW w:type="dxa" w:w="5040"/>
            <w:shd w:fill="FFFFFF"/>
            <w:vAlign w:val="center"/>
          </w:tcPr>
          <w:p>
            <w:pPr>
              <w:jc w:val="center"/>
            </w:pPr>
            <w:r/>
            <w:r>
              <w:rPr>
                <w:b w:val="0"/>
                <w:color w:val="294A63"/>
                <w:sz w:val="17"/>
              </w:rPr>
              <w:t>CTA</w:t>
            </w:r>
          </w:p>
        </w:tc>
        <w:tc>
          <w:tcPr>
            <w:tcW w:type="dxa" w:w="5040"/>
            <w:shd w:fill="FFFFFF"/>
            <w:vAlign w:val="center"/>
          </w:tcPr>
          <w:p>
            <w:pPr>
              <w:jc w:val="center"/>
            </w:pPr>
            <w:r/>
            <w:r>
              <w:rPr>
                <w:b w:val="0"/>
                <w:color w:val="294A63"/>
                <w:sz w:val="17"/>
              </w:rPr>
              <w:t>Télécharger le tableau de bord KPI</w:t>
            </w:r>
          </w:p>
        </w:tc>
      </w:tr>
      <w:tr>
        <w:tc>
          <w:tcPr>
            <w:tcW w:type="dxa" w:w="5040"/>
            <w:shd w:fill="F5F9FC"/>
            <w:vAlign w:val="center"/>
          </w:tcPr>
          <w:p>
            <w:pPr>
              <w:jc w:val="center"/>
            </w:pPr>
            <w:r/>
            <w:r>
              <w:rPr>
                <w:b w:val="0"/>
                <w:color w:val="294A63"/>
                <w:sz w:val="17"/>
              </w:rPr>
              <w:t>Validation</w:t>
            </w:r>
          </w:p>
        </w:tc>
        <w:tc>
          <w:tcPr>
            <w:tcW w:type="dxa" w:w="5040"/>
            <w:shd w:fill="F5F9FC"/>
            <w:vAlign w:val="center"/>
          </w:tcPr>
          <w:p>
            <w:pPr>
              <w:jc w:val="center"/>
            </w:pPr>
            <w:r/>
            <w:r>
              <w:rPr>
                <w:b w:val="0"/>
                <w:color w:val="294A63"/>
                <w:sz w:val="17"/>
              </w:rPr>
              <w:t>Expert métier puis responsable communication</w:t>
            </w:r>
          </w:p>
        </w:tc>
      </w:tr>
    </w:tbl>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F8798"/>
        <w:sz w:val="16"/>
      </w:rPr>
      <w:t>Modèle professionnel à personnaliser selon les données validées de l’organisation.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EAD78"/>
        <w:sz w:val="16"/>
      </w:rPr>
      <w:t>LCG | STRATÉGIE DIGITALE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94A6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