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F2A65A"/>
          <w:sz w:val="22"/>
        </w:rPr>
        <w:t>COLLECTION PREMIUM LCG</w:t>
      </w:r>
    </w:p>
    <w:p>
      <w:pPr>
        <w:jc w:val="center"/>
        <w:pBdr>
          <w:bottom w:val="single" w:sz="18" w:color="F2A65A"/>
        </w:pBdr>
      </w:pPr>
      <w:r>
        <w:rPr>
          <w:b/>
          <w:color w:val="173F5F"/>
          <w:sz w:val="52"/>
        </w:rPr>
        <w:t>PLAN DIGITAL E-COMMERCE</w:t>
      </w:r>
    </w:p>
    <w:p>
      <w:pPr>
        <w:jc w:val="center"/>
      </w:pPr>
      <w:r>
        <w:rPr>
          <w:color w:val="294A63"/>
          <w:sz w:val="26"/>
        </w:rPr>
        <w:t>Acquisition rentable, conversion, marge et fidélisation</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F2A65A"/>
            <w:vAlign w:val="center"/>
          </w:tcPr>
          <w:p>
            <w:pPr>
              <w:jc w:val="center"/>
            </w:pPr>
            <w:r/>
            <w:r>
              <w:rPr>
                <w:b/>
                <w:color w:val="FFFFFF"/>
                <w:sz w:val="18"/>
              </w:rPr>
              <w:t>Organisation</w:t>
            </w:r>
          </w:p>
        </w:tc>
        <w:tc>
          <w:tcPr>
            <w:tcW w:type="dxa" w:w="2520"/>
            <w:shd w:fill="F2A65A"/>
            <w:vAlign w:val="center"/>
          </w:tcPr>
          <w:p>
            <w:pPr>
              <w:jc w:val="center"/>
            </w:pPr>
            <w:r/>
            <w:r>
              <w:rPr>
                <w:b/>
                <w:color w:val="FFFFFF"/>
                <w:sz w:val="18"/>
              </w:rPr>
              <w:t>Période</w:t>
            </w:r>
          </w:p>
        </w:tc>
        <w:tc>
          <w:tcPr>
            <w:tcW w:type="dxa" w:w="2520"/>
            <w:shd w:fill="F2A65A"/>
            <w:vAlign w:val="center"/>
          </w:tcPr>
          <w:p>
            <w:pPr>
              <w:jc w:val="center"/>
            </w:pPr>
            <w:r/>
            <w:r>
              <w:rPr>
                <w:b/>
                <w:color w:val="FFFFFF"/>
                <w:sz w:val="18"/>
              </w:rPr>
              <w:t>Pilote</w:t>
            </w:r>
          </w:p>
        </w:tc>
        <w:tc>
          <w:tcPr>
            <w:tcW w:type="dxa" w:w="2520"/>
            <w:shd w:fill="F2A65A"/>
            <w:vAlign w:val="center"/>
          </w:tcPr>
          <w:p>
            <w:pPr>
              <w:jc w:val="center"/>
            </w:pPr>
            <w:r/>
            <w:r>
              <w:rPr>
                <w:b/>
                <w:color w:val="FFFFFF"/>
                <w:sz w:val="18"/>
              </w:rPr>
              <w:t>Version</w:t>
            </w:r>
          </w:p>
        </w:tc>
      </w:tr>
      <w:tr>
        <w:tc>
          <w:tcPr>
            <w:tcW w:type="dxa" w:w="2520"/>
            <w:shd w:fill="FFFFFF"/>
            <w:vAlign w:val="center"/>
          </w:tcPr>
          <w:p>
            <w:pPr>
              <w:jc w:val="center"/>
            </w:pPr>
            <w:r/>
            <w:r>
              <w:rPr>
                <w:b w:val="0"/>
                <w:color w:val="294A63"/>
                <w:sz w:val="17"/>
              </w:rPr>
              <w:t>Nova Conseil</w:t>
            </w:r>
          </w:p>
        </w:tc>
        <w:tc>
          <w:tcPr>
            <w:tcW w:type="dxa" w:w="2520"/>
            <w:shd w:fill="FFFFFF"/>
            <w:vAlign w:val="center"/>
          </w:tcPr>
          <w:p>
            <w:pPr>
              <w:jc w:val="center"/>
            </w:pPr>
            <w:r/>
            <w:r>
              <w:rPr>
                <w:b w:val="0"/>
                <w:color w:val="294A63"/>
                <w:sz w:val="17"/>
              </w:rPr>
              <w:t>Septembre-décembre 2026</w:t>
            </w:r>
          </w:p>
        </w:tc>
        <w:tc>
          <w:tcPr>
            <w:tcW w:type="dxa" w:w="2520"/>
            <w:shd w:fill="FFFFFF"/>
            <w:vAlign w:val="center"/>
          </w:tcPr>
          <w:p>
            <w:pPr>
              <w:jc w:val="center"/>
            </w:pPr>
            <w:r/>
            <w:r>
              <w:rPr>
                <w:b w:val="0"/>
                <w:color w:val="294A63"/>
                <w:sz w:val="17"/>
              </w:rPr>
              <w:t>Direction marketing</w:t>
            </w:r>
          </w:p>
        </w:tc>
        <w:tc>
          <w:tcPr>
            <w:tcW w:type="dxa" w:w="2520"/>
            <w:shd w:fill="FFFFFF"/>
            <w:vAlign w:val="center"/>
          </w:tcPr>
          <w:p>
            <w:pPr>
              <w:jc w:val="center"/>
            </w:pPr>
            <w:r/>
            <w:r>
              <w:rPr>
                <w:b w:val="0"/>
                <w:color w:val="294A63"/>
                <w:sz w:val="17"/>
              </w:rPr>
              <w:t>1.0</w:t>
            </w:r>
          </w:p>
        </w:tc>
      </w:tr>
    </w:tbl>
    <w:p/>
    <w:p>
      <w:pPr>
        <w:jc w:val="center"/>
      </w:pPr>
      <w:r>
        <w:rPr>
          <w:i/>
          <w:color w:val="F2A65A"/>
        </w:rPr>
        <w:t>Document prérempli - exemples, décisions et zones de personnalisation</w:t>
      </w:r>
    </w:p>
    <w:p>
      <w:r>
        <w:br w:type="page"/>
      </w:r>
    </w:p>
    <w:p>
      <w:pPr>
        <w:pStyle w:val="Heading1"/>
        <w:jc w:val="center"/>
      </w:pPr>
      <w:r>
        <w:rPr>
          <w:color w:val="F2A65A"/>
        </w:rPr>
        <w:t>1. Hypothèse économique</w:t>
      </w:r>
    </w:p>
    <w:p>
      <w:pPr>
        <w:jc w:val="both"/>
      </w:pPr>
      <w:r>
        <w:t>La boutique vend des équipements professionnels à panier moyen élevé. La croissance repose sur la qualité du trafic, la clarté du choix et la maîtrise de la marge après acquisition. Le plan privilégie les catégories rentables, les contenus comparatifs et les scénarios de réachat.</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F2A65A"/>
            <w:vAlign w:val="center"/>
          </w:tcPr>
          <w:p>
            <w:pPr>
              <w:jc w:val="center"/>
            </w:pPr>
            <w:r/>
            <w:r>
              <w:rPr>
                <w:b/>
                <w:color w:val="FFFFFF"/>
                <w:sz w:val="18"/>
              </w:rPr>
              <w:t>Indicateur</w:t>
            </w:r>
          </w:p>
        </w:tc>
        <w:tc>
          <w:tcPr>
            <w:tcW w:type="dxa" w:w="2520"/>
            <w:shd w:fill="F2A65A"/>
            <w:vAlign w:val="center"/>
          </w:tcPr>
          <w:p>
            <w:pPr>
              <w:jc w:val="center"/>
            </w:pPr>
            <w:r/>
            <w:r>
              <w:rPr>
                <w:b/>
                <w:color w:val="FFFFFF"/>
                <w:sz w:val="18"/>
              </w:rPr>
              <w:t>Situation</w:t>
            </w:r>
          </w:p>
        </w:tc>
        <w:tc>
          <w:tcPr>
            <w:tcW w:type="dxa" w:w="2520"/>
            <w:shd w:fill="F2A65A"/>
            <w:vAlign w:val="center"/>
          </w:tcPr>
          <w:p>
            <w:pPr>
              <w:jc w:val="center"/>
            </w:pPr>
            <w:r/>
            <w:r>
              <w:rPr>
                <w:b/>
                <w:color w:val="FFFFFF"/>
                <w:sz w:val="18"/>
              </w:rPr>
              <w:t>Objectif</w:t>
            </w:r>
          </w:p>
        </w:tc>
        <w:tc>
          <w:tcPr>
            <w:tcW w:type="dxa" w:w="2520"/>
            <w:shd w:fill="F2A65A"/>
            <w:vAlign w:val="center"/>
          </w:tcPr>
          <w:p>
            <w:pPr>
              <w:jc w:val="center"/>
            </w:pPr>
            <w:r/>
            <w:r>
              <w:rPr>
                <w:b/>
                <w:color w:val="FFFFFF"/>
                <w:sz w:val="18"/>
              </w:rPr>
              <w:t>Seuil d’alerte</w:t>
            </w:r>
          </w:p>
        </w:tc>
      </w:tr>
      <w:tr>
        <w:tc>
          <w:tcPr>
            <w:tcW w:type="dxa" w:w="2520"/>
            <w:shd w:fill="FFFFFF"/>
            <w:vAlign w:val="center"/>
          </w:tcPr>
          <w:p>
            <w:pPr>
              <w:jc w:val="center"/>
            </w:pPr>
            <w:r/>
            <w:r>
              <w:rPr>
                <w:b w:val="0"/>
                <w:color w:val="294A63"/>
                <w:sz w:val="17"/>
              </w:rPr>
              <w:t>Panier moyen</w:t>
            </w:r>
          </w:p>
        </w:tc>
        <w:tc>
          <w:tcPr>
            <w:tcW w:type="dxa" w:w="2520"/>
            <w:shd w:fill="FFFFFF"/>
            <w:vAlign w:val="center"/>
          </w:tcPr>
          <w:p>
            <w:pPr>
              <w:jc w:val="center"/>
            </w:pPr>
            <w:r/>
            <w:r>
              <w:rPr>
                <w:b w:val="0"/>
                <w:color w:val="294A63"/>
                <w:sz w:val="17"/>
              </w:rPr>
              <w:t>185 €</w:t>
            </w:r>
          </w:p>
        </w:tc>
        <w:tc>
          <w:tcPr>
            <w:tcW w:type="dxa" w:w="2520"/>
            <w:shd w:fill="FFFFFF"/>
            <w:vAlign w:val="center"/>
          </w:tcPr>
          <w:p>
            <w:pPr>
              <w:jc w:val="center"/>
            </w:pPr>
            <w:r/>
            <w:r>
              <w:rPr>
                <w:b w:val="0"/>
                <w:color w:val="294A63"/>
                <w:sz w:val="17"/>
              </w:rPr>
              <w:t>210 €</w:t>
            </w:r>
          </w:p>
        </w:tc>
        <w:tc>
          <w:tcPr>
            <w:tcW w:type="dxa" w:w="2520"/>
            <w:shd w:fill="FFFFFF"/>
            <w:vAlign w:val="center"/>
          </w:tcPr>
          <w:p>
            <w:pPr>
              <w:jc w:val="center"/>
            </w:pPr>
            <w:r/>
            <w:r>
              <w:rPr>
                <w:b w:val="0"/>
                <w:color w:val="294A63"/>
                <w:sz w:val="17"/>
              </w:rPr>
              <w:t>&lt; 175 €</w:t>
            </w:r>
          </w:p>
        </w:tc>
      </w:tr>
      <w:tr>
        <w:tc>
          <w:tcPr>
            <w:tcW w:type="dxa" w:w="2520"/>
            <w:shd w:fill="F5F9FC"/>
            <w:vAlign w:val="center"/>
          </w:tcPr>
          <w:p>
            <w:pPr>
              <w:jc w:val="center"/>
            </w:pPr>
            <w:r/>
            <w:r>
              <w:rPr>
                <w:b w:val="0"/>
                <w:color w:val="294A63"/>
                <w:sz w:val="17"/>
              </w:rPr>
              <w:t>Conversion</w:t>
            </w:r>
          </w:p>
        </w:tc>
        <w:tc>
          <w:tcPr>
            <w:tcW w:type="dxa" w:w="2520"/>
            <w:shd w:fill="F5F9FC"/>
            <w:vAlign w:val="center"/>
          </w:tcPr>
          <w:p>
            <w:pPr>
              <w:jc w:val="center"/>
            </w:pPr>
            <w:r/>
            <w:r>
              <w:rPr>
                <w:b w:val="0"/>
                <w:color w:val="294A63"/>
                <w:sz w:val="17"/>
              </w:rPr>
              <w:t>1,8 %</w:t>
            </w:r>
          </w:p>
        </w:tc>
        <w:tc>
          <w:tcPr>
            <w:tcW w:type="dxa" w:w="2520"/>
            <w:shd w:fill="F5F9FC"/>
            <w:vAlign w:val="center"/>
          </w:tcPr>
          <w:p>
            <w:pPr>
              <w:jc w:val="center"/>
            </w:pPr>
            <w:r/>
            <w:r>
              <w:rPr>
                <w:b w:val="0"/>
                <w:color w:val="294A63"/>
                <w:sz w:val="17"/>
              </w:rPr>
              <w:t>2,6 %</w:t>
            </w:r>
          </w:p>
        </w:tc>
        <w:tc>
          <w:tcPr>
            <w:tcW w:type="dxa" w:w="2520"/>
            <w:shd w:fill="F5F9FC"/>
            <w:vAlign w:val="center"/>
          </w:tcPr>
          <w:p>
            <w:pPr>
              <w:jc w:val="center"/>
            </w:pPr>
            <w:r/>
            <w:r>
              <w:rPr>
                <w:b w:val="0"/>
                <w:color w:val="294A63"/>
                <w:sz w:val="17"/>
              </w:rPr>
              <w:t>&lt; 1,6 %</w:t>
            </w:r>
          </w:p>
        </w:tc>
      </w:tr>
      <w:tr>
        <w:tc>
          <w:tcPr>
            <w:tcW w:type="dxa" w:w="2520"/>
            <w:shd w:fill="FFFFFF"/>
            <w:vAlign w:val="center"/>
          </w:tcPr>
          <w:p>
            <w:pPr>
              <w:jc w:val="center"/>
            </w:pPr>
            <w:r/>
            <w:r>
              <w:rPr>
                <w:b w:val="0"/>
                <w:color w:val="294A63"/>
                <w:sz w:val="17"/>
              </w:rPr>
              <w:t>Marge après acquisition</w:t>
            </w:r>
          </w:p>
        </w:tc>
        <w:tc>
          <w:tcPr>
            <w:tcW w:type="dxa" w:w="2520"/>
            <w:shd w:fill="FFFFFF"/>
            <w:vAlign w:val="center"/>
          </w:tcPr>
          <w:p>
            <w:pPr>
              <w:jc w:val="center"/>
            </w:pPr>
            <w:r/>
            <w:r>
              <w:rPr>
                <w:b w:val="0"/>
                <w:color w:val="294A63"/>
                <w:sz w:val="17"/>
              </w:rPr>
              <w:t>24 %</w:t>
            </w:r>
          </w:p>
        </w:tc>
        <w:tc>
          <w:tcPr>
            <w:tcW w:type="dxa" w:w="2520"/>
            <w:shd w:fill="FFFFFF"/>
            <w:vAlign w:val="center"/>
          </w:tcPr>
          <w:p>
            <w:pPr>
              <w:jc w:val="center"/>
            </w:pPr>
            <w:r/>
            <w:r>
              <w:rPr>
                <w:b w:val="0"/>
                <w:color w:val="294A63"/>
                <w:sz w:val="17"/>
              </w:rPr>
              <w:t>30 %</w:t>
            </w:r>
          </w:p>
        </w:tc>
        <w:tc>
          <w:tcPr>
            <w:tcW w:type="dxa" w:w="2520"/>
            <w:shd w:fill="FFFFFF"/>
            <w:vAlign w:val="center"/>
          </w:tcPr>
          <w:p>
            <w:pPr>
              <w:jc w:val="center"/>
            </w:pPr>
            <w:r/>
            <w:r>
              <w:rPr>
                <w:b w:val="0"/>
                <w:color w:val="294A63"/>
                <w:sz w:val="17"/>
              </w:rPr>
              <w:t>&lt; 20 %</w:t>
            </w:r>
          </w:p>
        </w:tc>
      </w:tr>
      <w:tr>
        <w:tc>
          <w:tcPr>
            <w:tcW w:type="dxa" w:w="2520"/>
            <w:shd w:fill="F5F9FC"/>
            <w:vAlign w:val="center"/>
          </w:tcPr>
          <w:p>
            <w:pPr>
              <w:jc w:val="center"/>
            </w:pPr>
            <w:r/>
            <w:r>
              <w:rPr>
                <w:b w:val="0"/>
                <w:color w:val="294A63"/>
                <w:sz w:val="17"/>
              </w:rPr>
              <w:t>Réachat à 6 mois</w:t>
            </w:r>
          </w:p>
        </w:tc>
        <w:tc>
          <w:tcPr>
            <w:tcW w:type="dxa" w:w="2520"/>
            <w:shd w:fill="F5F9FC"/>
            <w:vAlign w:val="center"/>
          </w:tcPr>
          <w:p>
            <w:pPr>
              <w:jc w:val="center"/>
            </w:pPr>
            <w:r/>
            <w:r>
              <w:rPr>
                <w:b w:val="0"/>
                <w:color w:val="294A63"/>
                <w:sz w:val="17"/>
              </w:rPr>
              <w:t>14 %</w:t>
            </w:r>
          </w:p>
        </w:tc>
        <w:tc>
          <w:tcPr>
            <w:tcW w:type="dxa" w:w="2520"/>
            <w:shd w:fill="F5F9FC"/>
            <w:vAlign w:val="center"/>
          </w:tcPr>
          <w:p>
            <w:pPr>
              <w:jc w:val="center"/>
            </w:pPr>
            <w:r/>
            <w:r>
              <w:rPr>
                <w:b w:val="0"/>
                <w:color w:val="294A63"/>
                <w:sz w:val="17"/>
              </w:rPr>
              <w:t>22 %</w:t>
            </w:r>
          </w:p>
        </w:tc>
        <w:tc>
          <w:tcPr>
            <w:tcW w:type="dxa" w:w="2520"/>
            <w:shd w:fill="F5F9FC"/>
            <w:vAlign w:val="center"/>
          </w:tcPr>
          <w:p>
            <w:pPr>
              <w:jc w:val="center"/>
            </w:pPr>
            <w:r/>
            <w:r>
              <w:rPr>
                <w:b w:val="0"/>
                <w:color w:val="294A63"/>
                <w:sz w:val="17"/>
              </w:rPr>
              <w:t>&lt; 12 %</w:t>
            </w:r>
          </w:p>
        </w:tc>
      </w:tr>
      <w:tr>
        <w:tc>
          <w:tcPr>
            <w:tcW w:type="dxa" w:w="2520"/>
            <w:shd w:fill="FFFFFF"/>
            <w:vAlign w:val="center"/>
          </w:tcPr>
          <w:p>
            <w:pPr>
              <w:jc w:val="center"/>
            </w:pPr>
            <w:r/>
            <w:r>
              <w:rPr>
                <w:b w:val="0"/>
                <w:color w:val="294A63"/>
                <w:sz w:val="17"/>
              </w:rPr>
              <w:t>Taux de retour</w:t>
            </w:r>
          </w:p>
        </w:tc>
        <w:tc>
          <w:tcPr>
            <w:tcW w:type="dxa" w:w="2520"/>
            <w:shd w:fill="FFFFFF"/>
            <w:vAlign w:val="center"/>
          </w:tcPr>
          <w:p>
            <w:pPr>
              <w:jc w:val="center"/>
            </w:pPr>
            <w:r/>
            <w:r>
              <w:rPr>
                <w:b w:val="0"/>
                <w:color w:val="294A63"/>
                <w:sz w:val="17"/>
              </w:rPr>
              <w:t>8 %</w:t>
            </w:r>
          </w:p>
        </w:tc>
        <w:tc>
          <w:tcPr>
            <w:tcW w:type="dxa" w:w="2520"/>
            <w:shd w:fill="FFFFFF"/>
            <w:vAlign w:val="center"/>
          </w:tcPr>
          <w:p>
            <w:pPr>
              <w:jc w:val="center"/>
            </w:pPr>
            <w:r/>
            <w:r>
              <w:rPr>
                <w:b w:val="0"/>
                <w:color w:val="294A63"/>
                <w:sz w:val="17"/>
              </w:rPr>
              <w:t>&lt; 6 %</w:t>
            </w:r>
          </w:p>
        </w:tc>
        <w:tc>
          <w:tcPr>
            <w:tcW w:type="dxa" w:w="2520"/>
            <w:shd w:fill="FFFFFF"/>
            <w:vAlign w:val="center"/>
          </w:tcPr>
          <w:p>
            <w:pPr>
              <w:jc w:val="center"/>
            </w:pPr>
            <w:r/>
            <w:r>
              <w:rPr>
                <w:b w:val="0"/>
                <w:color w:val="294A63"/>
                <w:sz w:val="17"/>
              </w:rPr>
              <w:t>&gt; 10 %</w:t>
            </w:r>
          </w:p>
        </w:tc>
      </w:tr>
    </w:tbl>
    <w:p/>
    <w:p>
      <w:pPr>
        <w:pStyle w:val="Heading1"/>
        <w:jc w:val="center"/>
      </w:pPr>
      <w:r>
        <w:rPr>
          <w:color w:val="F2A65A"/>
        </w:rPr>
        <w:t>2. Segments et offres</w:t>
      </w:r>
    </w:p>
    <w:tbl>
      <w:tblPr>
        <w:tblW w:type="auto" w:w="0"/>
        <w:jc w:val="center"/>
        <w:tblLayout w:type="autofit"/>
        <w:tblLook w:firstColumn="1" w:firstRow="1" w:lastColumn="0" w:lastRow="0" w:noHBand="0" w:noVBand="1" w:val="04A0"/>
      </w:tblPr>
      <w:tblGrid>
        <w:gridCol w:w="2016"/>
        <w:gridCol w:w="2016"/>
        <w:gridCol w:w="2016"/>
        <w:gridCol w:w="2016"/>
        <w:gridCol w:w="2016"/>
      </w:tblGrid>
      <w:tr>
        <w:tc>
          <w:tcPr>
            <w:tcW w:type="dxa" w:w="2016"/>
            <w:shd w:fill="F2A65A"/>
            <w:vAlign w:val="center"/>
          </w:tcPr>
          <w:p>
            <w:pPr>
              <w:jc w:val="center"/>
            </w:pPr>
            <w:r/>
            <w:r>
              <w:rPr>
                <w:b/>
                <w:color w:val="FFFFFF"/>
                <w:sz w:val="18"/>
              </w:rPr>
              <w:t>Segment</w:t>
            </w:r>
          </w:p>
        </w:tc>
        <w:tc>
          <w:tcPr>
            <w:tcW w:type="dxa" w:w="2016"/>
            <w:shd w:fill="F2A65A"/>
            <w:vAlign w:val="center"/>
          </w:tcPr>
          <w:p>
            <w:pPr>
              <w:jc w:val="center"/>
            </w:pPr>
            <w:r/>
            <w:r>
              <w:rPr>
                <w:b/>
                <w:color w:val="FFFFFF"/>
                <w:sz w:val="18"/>
              </w:rPr>
              <w:t>Besoin</w:t>
            </w:r>
          </w:p>
        </w:tc>
        <w:tc>
          <w:tcPr>
            <w:tcW w:type="dxa" w:w="2016"/>
            <w:shd w:fill="F2A65A"/>
            <w:vAlign w:val="center"/>
          </w:tcPr>
          <w:p>
            <w:pPr>
              <w:jc w:val="center"/>
            </w:pPr>
            <w:r/>
            <w:r>
              <w:rPr>
                <w:b/>
                <w:color w:val="FFFFFF"/>
                <w:sz w:val="18"/>
              </w:rPr>
              <w:t>Offre</w:t>
            </w:r>
          </w:p>
        </w:tc>
        <w:tc>
          <w:tcPr>
            <w:tcW w:type="dxa" w:w="2016"/>
            <w:shd w:fill="F2A65A"/>
            <w:vAlign w:val="center"/>
          </w:tcPr>
          <w:p>
            <w:pPr>
              <w:jc w:val="center"/>
            </w:pPr>
            <w:r/>
            <w:r>
              <w:rPr>
                <w:b/>
                <w:color w:val="FFFFFF"/>
                <w:sz w:val="18"/>
              </w:rPr>
              <w:t>Contenu de preuve</w:t>
            </w:r>
          </w:p>
        </w:tc>
        <w:tc>
          <w:tcPr>
            <w:tcW w:type="dxa" w:w="2016"/>
            <w:shd w:fill="F2A65A"/>
            <w:vAlign w:val="center"/>
          </w:tcPr>
          <w:p>
            <w:pPr>
              <w:jc w:val="center"/>
            </w:pPr>
            <w:r/>
            <w:r>
              <w:rPr>
                <w:b/>
                <w:color w:val="FFFFFF"/>
                <w:sz w:val="18"/>
              </w:rPr>
              <w:t>Levier</w:t>
            </w:r>
          </w:p>
        </w:tc>
      </w:tr>
      <w:tr>
        <w:tc>
          <w:tcPr>
            <w:tcW w:type="dxa" w:w="2016"/>
            <w:shd w:fill="FFFFFF"/>
            <w:vAlign w:val="center"/>
          </w:tcPr>
          <w:p>
            <w:pPr>
              <w:jc w:val="center"/>
            </w:pPr>
            <w:r/>
            <w:r>
              <w:rPr>
                <w:b w:val="0"/>
                <w:color w:val="294A63"/>
                <w:sz w:val="17"/>
              </w:rPr>
              <w:t>Nouvel acheteur</w:t>
            </w:r>
          </w:p>
        </w:tc>
        <w:tc>
          <w:tcPr>
            <w:tcW w:type="dxa" w:w="2016"/>
            <w:shd w:fill="FFFFFF"/>
            <w:vAlign w:val="center"/>
          </w:tcPr>
          <w:p>
            <w:pPr>
              <w:jc w:val="center"/>
            </w:pPr>
            <w:r/>
            <w:r>
              <w:rPr>
                <w:b w:val="0"/>
                <w:color w:val="294A63"/>
                <w:sz w:val="17"/>
              </w:rPr>
              <w:t>Choisir sans erreur</w:t>
            </w:r>
          </w:p>
        </w:tc>
        <w:tc>
          <w:tcPr>
            <w:tcW w:type="dxa" w:w="2016"/>
            <w:shd w:fill="FFFFFF"/>
            <w:vAlign w:val="center"/>
          </w:tcPr>
          <w:p>
            <w:pPr>
              <w:jc w:val="center"/>
            </w:pPr>
            <w:r/>
            <w:r>
              <w:rPr>
                <w:b w:val="0"/>
                <w:color w:val="294A63"/>
                <w:sz w:val="17"/>
              </w:rPr>
              <w:t>Guide + comparateur</w:t>
            </w:r>
          </w:p>
        </w:tc>
        <w:tc>
          <w:tcPr>
            <w:tcW w:type="dxa" w:w="2016"/>
            <w:shd w:fill="FFFFFF"/>
            <w:vAlign w:val="center"/>
          </w:tcPr>
          <w:p>
            <w:pPr>
              <w:jc w:val="center"/>
            </w:pPr>
            <w:r/>
            <w:r>
              <w:rPr>
                <w:b w:val="0"/>
                <w:color w:val="294A63"/>
                <w:sz w:val="17"/>
              </w:rPr>
              <w:t>Tableau de compatibilité</w:t>
            </w:r>
          </w:p>
        </w:tc>
        <w:tc>
          <w:tcPr>
            <w:tcW w:type="dxa" w:w="2016"/>
            <w:shd w:fill="FFFFFF"/>
            <w:vAlign w:val="center"/>
          </w:tcPr>
          <w:p>
            <w:pPr>
              <w:jc w:val="center"/>
            </w:pPr>
            <w:r/>
            <w:r>
              <w:rPr>
                <w:b w:val="0"/>
                <w:color w:val="294A63"/>
                <w:sz w:val="17"/>
              </w:rPr>
              <w:t>SEO</w:t>
            </w:r>
          </w:p>
        </w:tc>
      </w:tr>
      <w:tr>
        <w:tc>
          <w:tcPr>
            <w:tcW w:type="dxa" w:w="2016"/>
            <w:shd w:fill="F5F9FC"/>
            <w:vAlign w:val="center"/>
          </w:tcPr>
          <w:p>
            <w:pPr>
              <w:jc w:val="center"/>
            </w:pPr>
            <w:r/>
            <w:r>
              <w:rPr>
                <w:b w:val="0"/>
                <w:color w:val="294A63"/>
                <w:sz w:val="17"/>
              </w:rPr>
              <w:t>Professionnel récurrent</w:t>
            </w:r>
          </w:p>
        </w:tc>
        <w:tc>
          <w:tcPr>
            <w:tcW w:type="dxa" w:w="2016"/>
            <w:shd w:fill="F5F9FC"/>
            <w:vAlign w:val="center"/>
          </w:tcPr>
          <w:p>
            <w:pPr>
              <w:jc w:val="center"/>
            </w:pPr>
            <w:r/>
            <w:r>
              <w:rPr>
                <w:b w:val="0"/>
                <w:color w:val="294A63"/>
                <w:sz w:val="17"/>
              </w:rPr>
              <w:t>Commander vite</w:t>
            </w:r>
          </w:p>
        </w:tc>
        <w:tc>
          <w:tcPr>
            <w:tcW w:type="dxa" w:w="2016"/>
            <w:shd w:fill="F5F9FC"/>
            <w:vAlign w:val="center"/>
          </w:tcPr>
          <w:p>
            <w:pPr>
              <w:jc w:val="center"/>
            </w:pPr>
            <w:r/>
            <w:r>
              <w:rPr>
                <w:b w:val="0"/>
                <w:color w:val="294A63"/>
                <w:sz w:val="17"/>
              </w:rPr>
              <w:t>Liste habituelle et rappel</w:t>
            </w:r>
          </w:p>
        </w:tc>
        <w:tc>
          <w:tcPr>
            <w:tcW w:type="dxa" w:w="2016"/>
            <w:shd w:fill="F5F9FC"/>
            <w:vAlign w:val="center"/>
          </w:tcPr>
          <w:p>
            <w:pPr>
              <w:jc w:val="center"/>
            </w:pPr>
            <w:r/>
            <w:r>
              <w:rPr>
                <w:b w:val="0"/>
                <w:color w:val="294A63"/>
                <w:sz w:val="17"/>
              </w:rPr>
              <w:t>Historique fiable</w:t>
            </w:r>
          </w:p>
        </w:tc>
        <w:tc>
          <w:tcPr>
            <w:tcW w:type="dxa" w:w="2016"/>
            <w:shd w:fill="F5F9FC"/>
            <w:vAlign w:val="center"/>
          </w:tcPr>
          <w:p>
            <w:pPr>
              <w:jc w:val="center"/>
            </w:pPr>
            <w:r/>
            <w:r>
              <w:rPr>
                <w:b w:val="0"/>
                <w:color w:val="294A63"/>
                <w:sz w:val="17"/>
              </w:rPr>
              <w:t>CRM</w:t>
            </w:r>
          </w:p>
        </w:tc>
      </w:tr>
      <w:tr>
        <w:tc>
          <w:tcPr>
            <w:tcW w:type="dxa" w:w="2016"/>
            <w:shd w:fill="FFFFFF"/>
            <w:vAlign w:val="center"/>
          </w:tcPr>
          <w:p>
            <w:pPr>
              <w:jc w:val="center"/>
            </w:pPr>
            <w:r/>
            <w:r>
              <w:rPr>
                <w:b w:val="0"/>
                <w:color w:val="294A63"/>
                <w:sz w:val="17"/>
              </w:rPr>
              <w:t>Compte à fort potentiel</w:t>
            </w:r>
          </w:p>
        </w:tc>
        <w:tc>
          <w:tcPr>
            <w:tcW w:type="dxa" w:w="2016"/>
            <w:shd w:fill="FFFFFF"/>
            <w:vAlign w:val="center"/>
          </w:tcPr>
          <w:p>
            <w:pPr>
              <w:jc w:val="center"/>
            </w:pPr>
            <w:r/>
            <w:r>
              <w:rPr>
                <w:b w:val="0"/>
                <w:color w:val="294A63"/>
                <w:sz w:val="17"/>
              </w:rPr>
              <w:t>Prix et service</w:t>
            </w:r>
          </w:p>
        </w:tc>
        <w:tc>
          <w:tcPr>
            <w:tcW w:type="dxa" w:w="2016"/>
            <w:shd w:fill="FFFFFF"/>
            <w:vAlign w:val="center"/>
          </w:tcPr>
          <w:p>
            <w:pPr>
              <w:jc w:val="center"/>
            </w:pPr>
            <w:r/>
            <w:r>
              <w:rPr>
                <w:b w:val="0"/>
                <w:color w:val="294A63"/>
                <w:sz w:val="17"/>
              </w:rPr>
              <w:t>Conditions de volume</w:t>
            </w:r>
          </w:p>
        </w:tc>
        <w:tc>
          <w:tcPr>
            <w:tcW w:type="dxa" w:w="2016"/>
            <w:shd w:fill="FFFFFF"/>
            <w:vAlign w:val="center"/>
          </w:tcPr>
          <w:p>
            <w:pPr>
              <w:jc w:val="center"/>
            </w:pPr>
            <w:r/>
            <w:r>
              <w:rPr>
                <w:b w:val="0"/>
                <w:color w:val="294A63"/>
                <w:sz w:val="17"/>
              </w:rPr>
              <w:t>Cas client</w:t>
            </w:r>
          </w:p>
        </w:tc>
        <w:tc>
          <w:tcPr>
            <w:tcW w:type="dxa" w:w="2016"/>
            <w:shd w:fill="FFFFFF"/>
            <w:vAlign w:val="center"/>
          </w:tcPr>
          <w:p>
            <w:pPr>
              <w:jc w:val="center"/>
            </w:pPr>
            <w:r/>
            <w:r>
              <w:rPr>
                <w:b w:val="0"/>
                <w:color w:val="294A63"/>
                <w:sz w:val="17"/>
              </w:rPr>
              <w:t>Commercial</w:t>
            </w:r>
          </w:p>
        </w:tc>
      </w:tr>
    </w:tbl>
    <w:p/>
    <w:p>
      <w:pPr>
        <w:pStyle w:val="Heading1"/>
        <w:jc w:val="center"/>
      </w:pPr>
      <w:r>
        <w:rPr>
          <w:color w:val="F2A65A"/>
        </w:rPr>
        <w:t>3. Parcours d’achat optimisé</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F2A65A"/>
            <w:vAlign w:val="center"/>
          </w:tcPr>
          <w:p>
            <w:pPr>
              <w:jc w:val="center"/>
            </w:pPr>
            <w:r/>
            <w:r>
              <w:rPr>
                <w:b/>
                <w:color w:val="FFFFFF"/>
                <w:sz w:val="18"/>
              </w:rPr>
              <w:t>Étape</w:t>
            </w:r>
          </w:p>
        </w:tc>
        <w:tc>
          <w:tcPr>
            <w:tcW w:type="dxa" w:w="2520"/>
            <w:shd w:fill="F2A65A"/>
            <w:vAlign w:val="center"/>
          </w:tcPr>
          <w:p>
            <w:pPr>
              <w:jc w:val="center"/>
            </w:pPr>
            <w:r/>
            <w:r>
              <w:rPr>
                <w:b/>
                <w:color w:val="FFFFFF"/>
                <w:sz w:val="18"/>
              </w:rPr>
              <w:t>Friction actuelle</w:t>
            </w:r>
          </w:p>
        </w:tc>
        <w:tc>
          <w:tcPr>
            <w:tcW w:type="dxa" w:w="2520"/>
            <w:shd w:fill="F2A65A"/>
            <w:vAlign w:val="center"/>
          </w:tcPr>
          <w:p>
            <w:pPr>
              <w:jc w:val="center"/>
            </w:pPr>
            <w:r/>
            <w:r>
              <w:rPr>
                <w:b/>
                <w:color w:val="FFFFFF"/>
                <w:sz w:val="18"/>
              </w:rPr>
              <w:t>Correction</w:t>
            </w:r>
          </w:p>
        </w:tc>
        <w:tc>
          <w:tcPr>
            <w:tcW w:type="dxa" w:w="2520"/>
            <w:shd w:fill="F2A65A"/>
            <w:vAlign w:val="center"/>
          </w:tcPr>
          <w:p>
            <w:pPr>
              <w:jc w:val="center"/>
            </w:pPr>
            <w:r/>
            <w:r>
              <w:rPr>
                <w:b/>
                <w:color w:val="FFFFFF"/>
                <w:sz w:val="18"/>
              </w:rPr>
              <w:t>KPI</w:t>
            </w:r>
          </w:p>
        </w:tc>
      </w:tr>
      <w:tr>
        <w:tc>
          <w:tcPr>
            <w:tcW w:type="dxa" w:w="2520"/>
            <w:shd w:fill="FFFFFF"/>
            <w:vAlign w:val="center"/>
          </w:tcPr>
          <w:p>
            <w:pPr>
              <w:jc w:val="center"/>
            </w:pPr>
            <w:r/>
            <w:r>
              <w:rPr>
                <w:b w:val="0"/>
                <w:color w:val="294A63"/>
                <w:sz w:val="17"/>
              </w:rPr>
              <w:t>Catégorie</w:t>
            </w:r>
          </w:p>
        </w:tc>
        <w:tc>
          <w:tcPr>
            <w:tcW w:type="dxa" w:w="2520"/>
            <w:shd w:fill="FFFFFF"/>
            <w:vAlign w:val="center"/>
          </w:tcPr>
          <w:p>
            <w:pPr>
              <w:jc w:val="center"/>
            </w:pPr>
            <w:r/>
            <w:r>
              <w:rPr>
                <w:b w:val="0"/>
                <w:color w:val="294A63"/>
                <w:sz w:val="17"/>
              </w:rPr>
              <w:t>Trop de références similaires</w:t>
            </w:r>
          </w:p>
        </w:tc>
        <w:tc>
          <w:tcPr>
            <w:tcW w:type="dxa" w:w="2520"/>
            <w:shd w:fill="FFFFFF"/>
            <w:vAlign w:val="center"/>
          </w:tcPr>
          <w:p>
            <w:pPr>
              <w:jc w:val="center"/>
            </w:pPr>
            <w:r/>
            <w:r>
              <w:rPr>
                <w:b w:val="0"/>
                <w:color w:val="294A63"/>
                <w:sz w:val="17"/>
              </w:rPr>
              <w:t>Filtres métier et guide de choix</w:t>
            </w:r>
          </w:p>
        </w:tc>
        <w:tc>
          <w:tcPr>
            <w:tcW w:type="dxa" w:w="2520"/>
            <w:shd w:fill="FFFFFF"/>
            <w:vAlign w:val="center"/>
          </w:tcPr>
          <w:p>
            <w:pPr>
              <w:jc w:val="center"/>
            </w:pPr>
            <w:r/>
            <w:r>
              <w:rPr>
                <w:b w:val="0"/>
                <w:color w:val="294A63"/>
                <w:sz w:val="17"/>
              </w:rPr>
              <w:t>Clic vers produit</w:t>
            </w:r>
          </w:p>
        </w:tc>
      </w:tr>
      <w:tr>
        <w:tc>
          <w:tcPr>
            <w:tcW w:type="dxa" w:w="2520"/>
            <w:shd w:fill="F5F9FC"/>
            <w:vAlign w:val="center"/>
          </w:tcPr>
          <w:p>
            <w:pPr>
              <w:jc w:val="center"/>
            </w:pPr>
            <w:r/>
            <w:r>
              <w:rPr>
                <w:b w:val="0"/>
                <w:color w:val="294A63"/>
                <w:sz w:val="17"/>
              </w:rPr>
              <w:t>Produit</w:t>
            </w:r>
          </w:p>
        </w:tc>
        <w:tc>
          <w:tcPr>
            <w:tcW w:type="dxa" w:w="2520"/>
            <w:shd w:fill="F5F9FC"/>
            <w:vAlign w:val="center"/>
          </w:tcPr>
          <w:p>
            <w:pPr>
              <w:jc w:val="center"/>
            </w:pPr>
            <w:r/>
            <w:r>
              <w:rPr>
                <w:b w:val="0"/>
                <w:color w:val="294A63"/>
                <w:sz w:val="17"/>
              </w:rPr>
              <w:t>Bénéfices techniques peu lisibles</w:t>
            </w:r>
          </w:p>
        </w:tc>
        <w:tc>
          <w:tcPr>
            <w:tcW w:type="dxa" w:w="2520"/>
            <w:shd w:fill="F5F9FC"/>
            <w:vAlign w:val="center"/>
          </w:tcPr>
          <w:p>
            <w:pPr>
              <w:jc w:val="center"/>
            </w:pPr>
            <w:r/>
            <w:r>
              <w:rPr>
                <w:b w:val="0"/>
                <w:color w:val="294A63"/>
                <w:sz w:val="17"/>
              </w:rPr>
              <w:t>Résumé, compatibilité et preuve</w:t>
            </w:r>
          </w:p>
        </w:tc>
        <w:tc>
          <w:tcPr>
            <w:tcW w:type="dxa" w:w="2520"/>
            <w:shd w:fill="F5F9FC"/>
            <w:vAlign w:val="center"/>
          </w:tcPr>
          <w:p>
            <w:pPr>
              <w:jc w:val="center"/>
            </w:pPr>
            <w:r/>
            <w:r>
              <w:rPr>
                <w:b w:val="0"/>
                <w:color w:val="294A63"/>
                <w:sz w:val="17"/>
              </w:rPr>
              <w:t>Ajout panier</w:t>
            </w:r>
          </w:p>
        </w:tc>
      </w:tr>
      <w:tr>
        <w:tc>
          <w:tcPr>
            <w:tcW w:type="dxa" w:w="2520"/>
            <w:shd w:fill="FFFFFF"/>
            <w:vAlign w:val="center"/>
          </w:tcPr>
          <w:p>
            <w:pPr>
              <w:jc w:val="center"/>
            </w:pPr>
            <w:r/>
            <w:r>
              <w:rPr>
                <w:b w:val="0"/>
                <w:color w:val="294A63"/>
                <w:sz w:val="17"/>
              </w:rPr>
              <w:t>Panier</w:t>
            </w:r>
          </w:p>
        </w:tc>
        <w:tc>
          <w:tcPr>
            <w:tcW w:type="dxa" w:w="2520"/>
            <w:shd w:fill="FFFFFF"/>
            <w:vAlign w:val="center"/>
          </w:tcPr>
          <w:p>
            <w:pPr>
              <w:jc w:val="center"/>
            </w:pPr>
            <w:r/>
            <w:r>
              <w:rPr>
                <w:b w:val="0"/>
                <w:color w:val="294A63"/>
                <w:sz w:val="17"/>
              </w:rPr>
              <w:t>Frais découverts tardivement</w:t>
            </w:r>
          </w:p>
        </w:tc>
        <w:tc>
          <w:tcPr>
            <w:tcW w:type="dxa" w:w="2520"/>
            <w:shd w:fill="FFFFFF"/>
            <w:vAlign w:val="center"/>
          </w:tcPr>
          <w:p>
            <w:pPr>
              <w:jc w:val="center"/>
            </w:pPr>
            <w:r/>
            <w:r>
              <w:rPr>
                <w:b w:val="0"/>
                <w:color w:val="294A63"/>
                <w:sz w:val="17"/>
              </w:rPr>
              <w:t>Estimation anticipée</w:t>
            </w:r>
          </w:p>
        </w:tc>
        <w:tc>
          <w:tcPr>
            <w:tcW w:type="dxa" w:w="2520"/>
            <w:shd w:fill="FFFFFF"/>
            <w:vAlign w:val="center"/>
          </w:tcPr>
          <w:p>
            <w:pPr>
              <w:jc w:val="center"/>
            </w:pPr>
            <w:r/>
            <w:r>
              <w:rPr>
                <w:b w:val="0"/>
                <w:color w:val="294A63"/>
                <w:sz w:val="17"/>
              </w:rPr>
              <w:t>Abandon panier</w:t>
            </w:r>
          </w:p>
        </w:tc>
      </w:tr>
      <w:tr>
        <w:tc>
          <w:tcPr>
            <w:tcW w:type="dxa" w:w="2520"/>
            <w:shd w:fill="F5F9FC"/>
            <w:vAlign w:val="center"/>
          </w:tcPr>
          <w:p>
            <w:pPr>
              <w:jc w:val="center"/>
            </w:pPr>
            <w:r/>
            <w:r>
              <w:rPr>
                <w:b w:val="0"/>
                <w:color w:val="294A63"/>
                <w:sz w:val="17"/>
              </w:rPr>
              <w:t>Après achat</w:t>
            </w:r>
          </w:p>
        </w:tc>
        <w:tc>
          <w:tcPr>
            <w:tcW w:type="dxa" w:w="2520"/>
            <w:shd w:fill="F5F9FC"/>
            <w:vAlign w:val="center"/>
          </w:tcPr>
          <w:p>
            <w:pPr>
              <w:jc w:val="center"/>
            </w:pPr>
            <w:r/>
            <w:r>
              <w:rPr>
                <w:b w:val="0"/>
                <w:color w:val="294A63"/>
                <w:sz w:val="17"/>
              </w:rPr>
              <w:t>Peu de contenu d’usage</w:t>
            </w:r>
          </w:p>
        </w:tc>
        <w:tc>
          <w:tcPr>
            <w:tcW w:type="dxa" w:w="2520"/>
            <w:shd w:fill="F5F9FC"/>
            <w:vAlign w:val="center"/>
          </w:tcPr>
          <w:p>
            <w:pPr>
              <w:jc w:val="center"/>
            </w:pPr>
            <w:r/>
            <w:r>
              <w:rPr>
                <w:b w:val="0"/>
                <w:color w:val="294A63"/>
                <w:sz w:val="17"/>
              </w:rPr>
              <w:t>Séquence installation-entretien</w:t>
            </w:r>
          </w:p>
        </w:tc>
        <w:tc>
          <w:tcPr>
            <w:tcW w:type="dxa" w:w="2520"/>
            <w:shd w:fill="F5F9FC"/>
            <w:vAlign w:val="center"/>
          </w:tcPr>
          <w:p>
            <w:pPr>
              <w:jc w:val="center"/>
            </w:pPr>
            <w:r/>
            <w:r>
              <w:rPr>
                <w:b w:val="0"/>
                <w:color w:val="294A63"/>
                <w:sz w:val="17"/>
              </w:rPr>
              <w:t>Retour et satisfaction</w:t>
            </w:r>
          </w:p>
        </w:tc>
      </w:tr>
    </w:tbl>
    <w:p/>
    <w:p>
      <w:pPr>
        <w:pStyle w:val="Heading1"/>
        <w:jc w:val="center"/>
      </w:pPr>
      <w:r>
        <w:rPr>
          <w:color w:val="F2A65A"/>
        </w:rPr>
        <w:t>4. Plan d’acquisition</w:t>
      </w:r>
    </w:p>
    <w:tbl>
      <w:tblPr>
        <w:tblW w:type="auto" w:w="0"/>
        <w:jc w:val="center"/>
        <w:tblLayout w:type="autofit"/>
        <w:tblLook w:firstColumn="1" w:firstRow="1" w:lastColumn="0" w:lastRow="0" w:noHBand="0" w:noVBand="1" w:val="04A0"/>
      </w:tblPr>
      <w:tblGrid>
        <w:gridCol w:w="2016"/>
        <w:gridCol w:w="2016"/>
        <w:gridCol w:w="2016"/>
        <w:gridCol w:w="2016"/>
        <w:gridCol w:w="2016"/>
      </w:tblGrid>
      <w:tr>
        <w:tc>
          <w:tcPr>
            <w:tcW w:type="dxa" w:w="2016"/>
            <w:shd w:fill="F2A65A"/>
            <w:vAlign w:val="center"/>
          </w:tcPr>
          <w:p>
            <w:pPr>
              <w:jc w:val="center"/>
            </w:pPr>
            <w:r/>
            <w:r>
              <w:rPr>
                <w:b/>
                <w:color w:val="FFFFFF"/>
                <w:sz w:val="18"/>
              </w:rPr>
              <w:t>Canal</w:t>
            </w:r>
          </w:p>
        </w:tc>
        <w:tc>
          <w:tcPr>
            <w:tcW w:type="dxa" w:w="2016"/>
            <w:shd w:fill="F2A65A"/>
            <w:vAlign w:val="center"/>
          </w:tcPr>
          <w:p>
            <w:pPr>
              <w:jc w:val="center"/>
            </w:pPr>
            <w:r/>
            <w:r>
              <w:rPr>
                <w:b/>
                <w:color w:val="FFFFFF"/>
                <w:sz w:val="18"/>
              </w:rPr>
              <w:t>Rôle</w:t>
            </w:r>
          </w:p>
        </w:tc>
        <w:tc>
          <w:tcPr>
            <w:tcW w:type="dxa" w:w="2016"/>
            <w:shd w:fill="F2A65A"/>
            <w:vAlign w:val="center"/>
          </w:tcPr>
          <w:p>
            <w:pPr>
              <w:jc w:val="center"/>
            </w:pPr>
            <w:r/>
            <w:r>
              <w:rPr>
                <w:b/>
                <w:color w:val="FFFFFF"/>
                <w:sz w:val="18"/>
              </w:rPr>
              <w:t>Budget mensuel</w:t>
            </w:r>
          </w:p>
        </w:tc>
        <w:tc>
          <w:tcPr>
            <w:tcW w:type="dxa" w:w="2016"/>
            <w:shd w:fill="F2A65A"/>
            <w:vAlign w:val="center"/>
          </w:tcPr>
          <w:p>
            <w:pPr>
              <w:jc w:val="center"/>
            </w:pPr>
            <w:r/>
            <w:r>
              <w:rPr>
                <w:b/>
                <w:color w:val="FFFFFF"/>
                <w:sz w:val="18"/>
              </w:rPr>
              <w:t>Objectif</w:t>
            </w:r>
          </w:p>
        </w:tc>
        <w:tc>
          <w:tcPr>
            <w:tcW w:type="dxa" w:w="2016"/>
            <w:shd w:fill="F2A65A"/>
            <w:vAlign w:val="center"/>
          </w:tcPr>
          <w:p>
            <w:pPr>
              <w:jc w:val="center"/>
            </w:pPr>
            <w:r/>
            <w:r>
              <w:rPr>
                <w:b/>
                <w:color w:val="FFFFFF"/>
                <w:sz w:val="18"/>
              </w:rPr>
              <w:t>Règle d’arbitrage</w:t>
            </w:r>
          </w:p>
        </w:tc>
      </w:tr>
      <w:tr>
        <w:tc>
          <w:tcPr>
            <w:tcW w:type="dxa" w:w="2016"/>
            <w:shd w:fill="FFFFFF"/>
            <w:vAlign w:val="center"/>
          </w:tcPr>
          <w:p>
            <w:pPr>
              <w:jc w:val="center"/>
            </w:pPr>
            <w:r/>
            <w:r>
              <w:rPr>
                <w:b w:val="0"/>
                <w:color w:val="294A63"/>
                <w:sz w:val="17"/>
              </w:rPr>
              <w:t>SEO catégories</w:t>
            </w:r>
          </w:p>
        </w:tc>
        <w:tc>
          <w:tcPr>
            <w:tcW w:type="dxa" w:w="2016"/>
            <w:shd w:fill="FFFFFF"/>
            <w:vAlign w:val="center"/>
          </w:tcPr>
          <w:p>
            <w:pPr>
              <w:jc w:val="center"/>
            </w:pPr>
            <w:r/>
            <w:r>
              <w:rPr>
                <w:b w:val="0"/>
                <w:color w:val="294A63"/>
                <w:sz w:val="17"/>
              </w:rPr>
              <w:t>Demande existante</w:t>
            </w:r>
          </w:p>
        </w:tc>
        <w:tc>
          <w:tcPr>
            <w:tcW w:type="dxa" w:w="2016"/>
            <w:shd w:fill="FFFFFF"/>
            <w:vAlign w:val="center"/>
          </w:tcPr>
          <w:p>
            <w:pPr>
              <w:jc w:val="center"/>
            </w:pPr>
            <w:r/>
            <w:r>
              <w:rPr>
                <w:b w:val="0"/>
                <w:color w:val="294A63"/>
                <w:sz w:val="17"/>
              </w:rPr>
              <w:t>2 400 €</w:t>
            </w:r>
          </w:p>
        </w:tc>
        <w:tc>
          <w:tcPr>
            <w:tcW w:type="dxa" w:w="2016"/>
            <w:shd w:fill="FFFFFF"/>
            <w:vAlign w:val="center"/>
          </w:tcPr>
          <w:p>
            <w:pPr>
              <w:jc w:val="center"/>
            </w:pPr>
            <w:r/>
            <w:r>
              <w:rPr>
                <w:b w:val="0"/>
                <w:color w:val="294A63"/>
                <w:sz w:val="17"/>
              </w:rPr>
              <w:t>+30 % clics qualifiés</w:t>
            </w:r>
          </w:p>
        </w:tc>
        <w:tc>
          <w:tcPr>
            <w:tcW w:type="dxa" w:w="2016"/>
            <w:shd w:fill="FFFFFF"/>
            <w:vAlign w:val="center"/>
          </w:tcPr>
          <w:p>
            <w:pPr>
              <w:jc w:val="center"/>
            </w:pPr>
            <w:r/>
            <w:r>
              <w:rPr>
                <w:b w:val="0"/>
                <w:color w:val="294A63"/>
                <w:sz w:val="17"/>
              </w:rPr>
              <w:t>Accélérer si marge assistée progresse</w:t>
            </w:r>
          </w:p>
        </w:tc>
      </w:tr>
      <w:tr>
        <w:tc>
          <w:tcPr>
            <w:tcW w:type="dxa" w:w="2016"/>
            <w:shd w:fill="F5F9FC"/>
            <w:vAlign w:val="center"/>
          </w:tcPr>
          <w:p>
            <w:pPr>
              <w:jc w:val="center"/>
            </w:pPr>
            <w:r/>
            <w:r>
              <w:rPr>
                <w:b w:val="0"/>
                <w:color w:val="294A63"/>
                <w:sz w:val="17"/>
              </w:rPr>
              <w:t>Search Ads</w:t>
            </w:r>
          </w:p>
        </w:tc>
        <w:tc>
          <w:tcPr>
            <w:tcW w:type="dxa" w:w="2016"/>
            <w:shd w:fill="F5F9FC"/>
            <w:vAlign w:val="center"/>
          </w:tcPr>
          <w:p>
            <w:pPr>
              <w:jc w:val="center"/>
            </w:pPr>
            <w:r/>
            <w:r>
              <w:rPr>
                <w:b w:val="0"/>
                <w:color w:val="294A63"/>
                <w:sz w:val="17"/>
              </w:rPr>
              <w:t>Intention forte</w:t>
            </w:r>
          </w:p>
        </w:tc>
        <w:tc>
          <w:tcPr>
            <w:tcW w:type="dxa" w:w="2016"/>
            <w:shd w:fill="F5F9FC"/>
            <w:vAlign w:val="center"/>
          </w:tcPr>
          <w:p>
            <w:pPr>
              <w:jc w:val="center"/>
            </w:pPr>
            <w:r/>
            <w:r>
              <w:rPr>
                <w:b w:val="0"/>
                <w:color w:val="294A63"/>
                <w:sz w:val="17"/>
              </w:rPr>
              <w:t>3 000 €</w:t>
            </w:r>
          </w:p>
        </w:tc>
        <w:tc>
          <w:tcPr>
            <w:tcW w:type="dxa" w:w="2016"/>
            <w:shd w:fill="F5F9FC"/>
            <w:vAlign w:val="center"/>
          </w:tcPr>
          <w:p>
            <w:pPr>
              <w:jc w:val="center"/>
            </w:pPr>
            <w:r/>
            <w:r>
              <w:rPr>
                <w:b w:val="0"/>
                <w:color w:val="294A63"/>
                <w:sz w:val="17"/>
              </w:rPr>
              <w:t>ROAS ≥ 4</w:t>
            </w:r>
          </w:p>
        </w:tc>
        <w:tc>
          <w:tcPr>
            <w:tcW w:type="dxa" w:w="2016"/>
            <w:shd w:fill="F5F9FC"/>
            <w:vAlign w:val="center"/>
          </w:tcPr>
          <w:p>
            <w:pPr>
              <w:jc w:val="center"/>
            </w:pPr>
            <w:r/>
            <w:r>
              <w:rPr>
                <w:b w:val="0"/>
                <w:color w:val="294A63"/>
                <w:sz w:val="17"/>
              </w:rPr>
              <w:t>Réduire si marge nette &lt; 20 %</w:t>
            </w:r>
          </w:p>
        </w:tc>
      </w:tr>
      <w:tr>
        <w:tc>
          <w:tcPr>
            <w:tcW w:type="dxa" w:w="2016"/>
            <w:shd w:fill="FFFFFF"/>
            <w:vAlign w:val="center"/>
          </w:tcPr>
          <w:p>
            <w:pPr>
              <w:jc w:val="center"/>
            </w:pPr>
            <w:r/>
            <w:r>
              <w:rPr>
                <w:b w:val="0"/>
                <w:color w:val="294A63"/>
                <w:sz w:val="17"/>
              </w:rPr>
              <w:t>E-mail</w:t>
            </w:r>
          </w:p>
        </w:tc>
        <w:tc>
          <w:tcPr>
            <w:tcW w:type="dxa" w:w="2016"/>
            <w:shd w:fill="FFFFFF"/>
            <w:vAlign w:val="center"/>
          </w:tcPr>
          <w:p>
            <w:pPr>
              <w:jc w:val="center"/>
            </w:pPr>
            <w:r/>
            <w:r>
              <w:rPr>
                <w:b w:val="0"/>
                <w:color w:val="294A63"/>
                <w:sz w:val="17"/>
              </w:rPr>
              <w:t>Réachat</w:t>
            </w:r>
          </w:p>
        </w:tc>
        <w:tc>
          <w:tcPr>
            <w:tcW w:type="dxa" w:w="2016"/>
            <w:shd w:fill="FFFFFF"/>
            <w:vAlign w:val="center"/>
          </w:tcPr>
          <w:p>
            <w:pPr>
              <w:jc w:val="center"/>
            </w:pPr>
            <w:r/>
            <w:r>
              <w:rPr>
                <w:b w:val="0"/>
                <w:color w:val="294A63"/>
                <w:sz w:val="17"/>
              </w:rPr>
              <w:t>650 €</w:t>
            </w:r>
          </w:p>
        </w:tc>
        <w:tc>
          <w:tcPr>
            <w:tcW w:type="dxa" w:w="2016"/>
            <w:shd w:fill="FFFFFF"/>
            <w:vAlign w:val="center"/>
          </w:tcPr>
          <w:p>
            <w:pPr>
              <w:jc w:val="center"/>
            </w:pPr>
            <w:r/>
            <w:r>
              <w:rPr>
                <w:b w:val="0"/>
                <w:color w:val="294A63"/>
                <w:sz w:val="17"/>
              </w:rPr>
              <w:t>22 % réachat</w:t>
            </w:r>
          </w:p>
        </w:tc>
        <w:tc>
          <w:tcPr>
            <w:tcW w:type="dxa" w:w="2016"/>
            <w:shd w:fill="FFFFFF"/>
            <w:vAlign w:val="center"/>
          </w:tcPr>
          <w:p>
            <w:pPr>
              <w:jc w:val="center"/>
            </w:pPr>
            <w:r/>
            <w:r>
              <w:rPr>
                <w:b w:val="0"/>
                <w:color w:val="294A63"/>
                <w:sz w:val="17"/>
              </w:rPr>
              <w:t>Segmenter si désabonnement &gt; 1 %</w:t>
            </w:r>
          </w:p>
        </w:tc>
      </w:tr>
      <w:tr>
        <w:tc>
          <w:tcPr>
            <w:tcW w:type="dxa" w:w="2016"/>
            <w:shd w:fill="F5F9FC"/>
            <w:vAlign w:val="center"/>
          </w:tcPr>
          <w:p>
            <w:pPr>
              <w:jc w:val="center"/>
            </w:pPr>
            <w:r/>
            <w:r>
              <w:rPr>
                <w:b w:val="0"/>
                <w:color w:val="294A63"/>
                <w:sz w:val="17"/>
              </w:rPr>
              <w:t>Affiliation</w:t>
            </w:r>
          </w:p>
        </w:tc>
        <w:tc>
          <w:tcPr>
            <w:tcW w:type="dxa" w:w="2016"/>
            <w:shd w:fill="F5F9FC"/>
            <w:vAlign w:val="center"/>
          </w:tcPr>
          <w:p>
            <w:pPr>
              <w:jc w:val="center"/>
            </w:pPr>
            <w:r/>
            <w:r>
              <w:rPr>
                <w:b w:val="0"/>
                <w:color w:val="294A63"/>
                <w:sz w:val="17"/>
              </w:rPr>
              <w:t>Nouveaux publics</w:t>
            </w:r>
          </w:p>
        </w:tc>
        <w:tc>
          <w:tcPr>
            <w:tcW w:type="dxa" w:w="2016"/>
            <w:shd w:fill="F5F9FC"/>
            <w:vAlign w:val="center"/>
          </w:tcPr>
          <w:p>
            <w:pPr>
              <w:jc w:val="center"/>
            </w:pPr>
            <w:r/>
            <w:r>
              <w:rPr>
                <w:b w:val="0"/>
                <w:color w:val="294A63"/>
                <w:sz w:val="17"/>
              </w:rPr>
              <w:t>900 €</w:t>
            </w:r>
          </w:p>
        </w:tc>
        <w:tc>
          <w:tcPr>
            <w:tcW w:type="dxa" w:w="2016"/>
            <w:shd w:fill="F5F9FC"/>
            <w:vAlign w:val="center"/>
          </w:tcPr>
          <w:p>
            <w:pPr>
              <w:jc w:val="center"/>
            </w:pPr>
            <w:r/>
            <w:r>
              <w:rPr>
                <w:b w:val="0"/>
                <w:color w:val="294A63"/>
                <w:sz w:val="17"/>
              </w:rPr>
              <w:t>CPA &lt; 35 €</w:t>
            </w:r>
          </w:p>
        </w:tc>
        <w:tc>
          <w:tcPr>
            <w:tcW w:type="dxa" w:w="2016"/>
            <w:shd w:fill="F5F9FC"/>
            <w:vAlign w:val="center"/>
          </w:tcPr>
          <w:p>
            <w:pPr>
              <w:jc w:val="center"/>
            </w:pPr>
            <w:r/>
            <w:r>
              <w:rPr>
                <w:b w:val="0"/>
                <w:color w:val="294A63"/>
                <w:sz w:val="17"/>
              </w:rPr>
              <w:t>Suspendre après deux cycles faibles</w:t>
            </w:r>
          </w:p>
        </w:tc>
      </w:tr>
    </w:tbl>
    <w:p/>
    <w:p>
      <w:pPr>
        <w:pStyle w:val="Heading1"/>
        <w:jc w:val="center"/>
      </w:pPr>
      <w:r>
        <w:rPr>
          <w:color w:val="F2A65A"/>
        </w:rPr>
        <w:t>5. Tests de conversion</w:t>
      </w:r>
    </w:p>
    <w:tbl>
      <w:tblPr>
        <w:tblW w:type="auto" w:w="0"/>
        <w:jc w:val="center"/>
        <w:tblLayout w:type="autofit"/>
        <w:tblLook w:firstColumn="1" w:firstRow="1" w:lastColumn="0" w:lastRow="0" w:noHBand="0" w:noVBand="1" w:val="04A0"/>
      </w:tblPr>
      <w:tblGrid>
        <w:gridCol w:w="1680"/>
        <w:gridCol w:w="1680"/>
        <w:gridCol w:w="1680"/>
        <w:gridCol w:w="1680"/>
        <w:gridCol w:w="1680"/>
        <w:gridCol w:w="1680"/>
      </w:tblGrid>
      <w:tr>
        <w:tc>
          <w:tcPr>
            <w:tcW w:type="dxa" w:w="1680"/>
            <w:shd w:fill="F2A65A"/>
            <w:vAlign w:val="center"/>
          </w:tcPr>
          <w:p>
            <w:pPr>
              <w:jc w:val="center"/>
            </w:pPr>
            <w:r/>
            <w:r>
              <w:rPr>
                <w:b/>
                <w:color w:val="FFFFFF"/>
                <w:sz w:val="18"/>
              </w:rPr>
              <w:t>Test</w:t>
            </w:r>
          </w:p>
        </w:tc>
        <w:tc>
          <w:tcPr>
            <w:tcW w:type="dxa" w:w="1680"/>
            <w:shd w:fill="F2A65A"/>
            <w:vAlign w:val="center"/>
          </w:tcPr>
          <w:p>
            <w:pPr>
              <w:jc w:val="center"/>
            </w:pPr>
            <w:r/>
            <w:r>
              <w:rPr>
                <w:b/>
                <w:color w:val="FFFFFF"/>
                <w:sz w:val="18"/>
              </w:rPr>
              <w:t>Hypothèse</w:t>
            </w:r>
          </w:p>
        </w:tc>
        <w:tc>
          <w:tcPr>
            <w:tcW w:type="dxa" w:w="1680"/>
            <w:shd w:fill="F2A65A"/>
            <w:vAlign w:val="center"/>
          </w:tcPr>
          <w:p>
            <w:pPr>
              <w:jc w:val="center"/>
            </w:pPr>
            <w:r/>
            <w:r>
              <w:rPr>
                <w:b/>
                <w:color w:val="FFFFFF"/>
                <w:sz w:val="18"/>
              </w:rPr>
              <w:t>Version A</w:t>
            </w:r>
          </w:p>
        </w:tc>
        <w:tc>
          <w:tcPr>
            <w:tcW w:type="dxa" w:w="1680"/>
            <w:shd w:fill="F2A65A"/>
            <w:vAlign w:val="center"/>
          </w:tcPr>
          <w:p>
            <w:pPr>
              <w:jc w:val="center"/>
            </w:pPr>
            <w:r/>
            <w:r>
              <w:rPr>
                <w:b/>
                <w:color w:val="FFFFFF"/>
                <w:sz w:val="18"/>
              </w:rPr>
              <w:t>Version B</w:t>
            </w:r>
          </w:p>
        </w:tc>
        <w:tc>
          <w:tcPr>
            <w:tcW w:type="dxa" w:w="1680"/>
            <w:shd w:fill="F2A65A"/>
            <w:vAlign w:val="center"/>
          </w:tcPr>
          <w:p>
            <w:pPr>
              <w:jc w:val="center"/>
            </w:pPr>
            <w:r/>
            <w:r>
              <w:rPr>
                <w:b/>
                <w:color w:val="FFFFFF"/>
                <w:sz w:val="18"/>
              </w:rPr>
              <w:t>Mesure</w:t>
            </w:r>
          </w:p>
        </w:tc>
        <w:tc>
          <w:tcPr>
            <w:tcW w:type="dxa" w:w="1680"/>
            <w:shd w:fill="F2A65A"/>
            <w:vAlign w:val="center"/>
          </w:tcPr>
          <w:p>
            <w:pPr>
              <w:jc w:val="center"/>
            </w:pPr>
            <w:r/>
            <w:r>
              <w:rPr>
                <w:b/>
                <w:color w:val="FFFFFF"/>
                <w:sz w:val="18"/>
              </w:rPr>
              <w:t>Durée</w:t>
            </w:r>
          </w:p>
        </w:tc>
      </w:tr>
      <w:tr>
        <w:tc>
          <w:tcPr>
            <w:tcW w:type="dxa" w:w="1680"/>
            <w:shd w:fill="FFFFFF"/>
            <w:vAlign w:val="center"/>
          </w:tcPr>
          <w:p>
            <w:pPr>
              <w:jc w:val="center"/>
            </w:pPr>
            <w:r/>
            <w:r>
              <w:rPr>
                <w:b w:val="0"/>
                <w:color w:val="294A63"/>
                <w:sz w:val="17"/>
              </w:rPr>
              <w:t>Fiche produit</w:t>
            </w:r>
          </w:p>
        </w:tc>
        <w:tc>
          <w:tcPr>
            <w:tcW w:type="dxa" w:w="1680"/>
            <w:shd w:fill="FFFFFF"/>
            <w:vAlign w:val="center"/>
          </w:tcPr>
          <w:p>
            <w:pPr>
              <w:jc w:val="center"/>
            </w:pPr>
            <w:r/>
            <w:r>
              <w:rPr>
                <w:b w:val="0"/>
                <w:color w:val="294A63"/>
                <w:sz w:val="17"/>
              </w:rPr>
              <w:t>Une synthèse rassure</w:t>
            </w:r>
          </w:p>
        </w:tc>
        <w:tc>
          <w:tcPr>
            <w:tcW w:type="dxa" w:w="1680"/>
            <w:shd w:fill="FFFFFF"/>
            <w:vAlign w:val="center"/>
          </w:tcPr>
          <w:p>
            <w:pPr>
              <w:jc w:val="center"/>
            </w:pPr>
            <w:r/>
            <w:r>
              <w:rPr>
                <w:b w:val="0"/>
                <w:color w:val="294A63"/>
                <w:sz w:val="17"/>
              </w:rPr>
              <w:t>Description longue</w:t>
            </w:r>
          </w:p>
        </w:tc>
        <w:tc>
          <w:tcPr>
            <w:tcW w:type="dxa" w:w="1680"/>
            <w:shd w:fill="FFFFFF"/>
            <w:vAlign w:val="center"/>
          </w:tcPr>
          <w:p>
            <w:pPr>
              <w:jc w:val="center"/>
            </w:pPr>
            <w:r/>
            <w:r>
              <w:rPr>
                <w:b w:val="0"/>
                <w:color w:val="294A63"/>
                <w:sz w:val="17"/>
              </w:rPr>
              <w:t>Bloc bénéfices + preuve</w:t>
            </w:r>
          </w:p>
        </w:tc>
        <w:tc>
          <w:tcPr>
            <w:tcW w:type="dxa" w:w="1680"/>
            <w:shd w:fill="FFFFFF"/>
            <w:vAlign w:val="center"/>
          </w:tcPr>
          <w:p>
            <w:pPr>
              <w:jc w:val="center"/>
            </w:pPr>
            <w:r/>
            <w:r>
              <w:rPr>
                <w:b w:val="0"/>
                <w:color w:val="294A63"/>
                <w:sz w:val="17"/>
              </w:rPr>
              <w:t>Ajout panier</w:t>
            </w:r>
          </w:p>
        </w:tc>
        <w:tc>
          <w:tcPr>
            <w:tcW w:type="dxa" w:w="1680"/>
            <w:shd w:fill="FFFFFF"/>
            <w:vAlign w:val="center"/>
          </w:tcPr>
          <w:p>
            <w:pPr>
              <w:jc w:val="center"/>
            </w:pPr>
            <w:r/>
            <w:r>
              <w:rPr>
                <w:b w:val="0"/>
                <w:color w:val="294A63"/>
                <w:sz w:val="17"/>
              </w:rPr>
              <w:t>3 semaines</w:t>
            </w:r>
          </w:p>
        </w:tc>
      </w:tr>
      <w:tr>
        <w:tc>
          <w:tcPr>
            <w:tcW w:type="dxa" w:w="1680"/>
            <w:shd w:fill="F5F9FC"/>
            <w:vAlign w:val="center"/>
          </w:tcPr>
          <w:p>
            <w:pPr>
              <w:jc w:val="center"/>
            </w:pPr>
            <w:r/>
            <w:r>
              <w:rPr>
                <w:b w:val="0"/>
                <w:color w:val="294A63"/>
                <w:sz w:val="17"/>
              </w:rPr>
              <w:t>Livraison</w:t>
            </w:r>
          </w:p>
        </w:tc>
        <w:tc>
          <w:tcPr>
            <w:tcW w:type="dxa" w:w="1680"/>
            <w:shd w:fill="F5F9FC"/>
            <w:vAlign w:val="center"/>
          </w:tcPr>
          <w:p>
            <w:pPr>
              <w:jc w:val="center"/>
            </w:pPr>
            <w:r/>
            <w:r>
              <w:rPr>
                <w:b w:val="0"/>
                <w:color w:val="294A63"/>
                <w:sz w:val="17"/>
              </w:rPr>
              <w:t>La visibilité réduit l’abandon</w:t>
            </w:r>
          </w:p>
        </w:tc>
        <w:tc>
          <w:tcPr>
            <w:tcW w:type="dxa" w:w="1680"/>
            <w:shd w:fill="F5F9FC"/>
            <w:vAlign w:val="center"/>
          </w:tcPr>
          <w:p>
            <w:pPr>
              <w:jc w:val="center"/>
            </w:pPr>
            <w:r/>
            <w:r>
              <w:rPr>
                <w:b w:val="0"/>
                <w:color w:val="294A63"/>
                <w:sz w:val="17"/>
              </w:rPr>
              <w:t>Info au panier</w:t>
            </w:r>
          </w:p>
        </w:tc>
        <w:tc>
          <w:tcPr>
            <w:tcW w:type="dxa" w:w="1680"/>
            <w:shd w:fill="F5F9FC"/>
            <w:vAlign w:val="center"/>
          </w:tcPr>
          <w:p>
            <w:pPr>
              <w:jc w:val="center"/>
            </w:pPr>
            <w:r/>
            <w:r>
              <w:rPr>
                <w:b w:val="0"/>
                <w:color w:val="294A63"/>
                <w:sz w:val="17"/>
              </w:rPr>
              <w:t>Estimation dès la fiche</w:t>
            </w:r>
          </w:p>
        </w:tc>
        <w:tc>
          <w:tcPr>
            <w:tcW w:type="dxa" w:w="1680"/>
            <w:shd w:fill="F5F9FC"/>
            <w:vAlign w:val="center"/>
          </w:tcPr>
          <w:p>
            <w:pPr>
              <w:jc w:val="center"/>
            </w:pPr>
            <w:r/>
            <w:r>
              <w:rPr>
                <w:b w:val="0"/>
                <w:color w:val="294A63"/>
                <w:sz w:val="17"/>
              </w:rPr>
              <w:t>Conversion</w:t>
            </w:r>
          </w:p>
        </w:tc>
        <w:tc>
          <w:tcPr>
            <w:tcW w:type="dxa" w:w="1680"/>
            <w:shd w:fill="F5F9FC"/>
            <w:vAlign w:val="center"/>
          </w:tcPr>
          <w:p>
            <w:pPr>
              <w:jc w:val="center"/>
            </w:pPr>
            <w:r/>
            <w:r>
              <w:rPr>
                <w:b w:val="0"/>
                <w:color w:val="294A63"/>
                <w:sz w:val="17"/>
              </w:rPr>
              <w:t>4 semaines</w:t>
            </w:r>
          </w:p>
        </w:tc>
      </w:tr>
      <w:tr>
        <w:tc>
          <w:tcPr>
            <w:tcW w:type="dxa" w:w="1680"/>
            <w:shd w:fill="FFFFFF"/>
            <w:vAlign w:val="center"/>
          </w:tcPr>
          <w:p>
            <w:pPr>
              <w:jc w:val="center"/>
            </w:pPr>
            <w:r/>
            <w:r>
              <w:rPr>
                <w:b w:val="0"/>
                <w:color w:val="294A63"/>
                <w:sz w:val="17"/>
              </w:rPr>
              <w:t>CTA</w:t>
            </w:r>
          </w:p>
        </w:tc>
        <w:tc>
          <w:tcPr>
            <w:tcW w:type="dxa" w:w="1680"/>
            <w:shd w:fill="FFFFFF"/>
            <w:vAlign w:val="center"/>
          </w:tcPr>
          <w:p>
            <w:pPr>
              <w:jc w:val="center"/>
            </w:pPr>
            <w:r/>
            <w:r>
              <w:rPr>
                <w:b w:val="0"/>
                <w:color w:val="294A63"/>
                <w:sz w:val="17"/>
              </w:rPr>
              <w:t>Le vocabulaire métier motive</w:t>
            </w:r>
          </w:p>
        </w:tc>
        <w:tc>
          <w:tcPr>
            <w:tcW w:type="dxa" w:w="1680"/>
            <w:shd w:fill="FFFFFF"/>
            <w:vAlign w:val="center"/>
          </w:tcPr>
          <w:p>
            <w:pPr>
              <w:jc w:val="center"/>
            </w:pPr>
            <w:r/>
            <w:r>
              <w:rPr>
                <w:b w:val="0"/>
                <w:color w:val="294A63"/>
                <w:sz w:val="17"/>
              </w:rPr>
              <w:t>Acheter</w:t>
            </w:r>
          </w:p>
        </w:tc>
        <w:tc>
          <w:tcPr>
            <w:tcW w:type="dxa" w:w="1680"/>
            <w:shd w:fill="FFFFFF"/>
            <w:vAlign w:val="center"/>
          </w:tcPr>
          <w:p>
            <w:pPr>
              <w:jc w:val="center"/>
            </w:pPr>
            <w:r/>
            <w:r>
              <w:rPr>
                <w:b w:val="0"/>
                <w:color w:val="294A63"/>
                <w:sz w:val="17"/>
              </w:rPr>
              <w:t>Configurer mon équipement</w:t>
            </w:r>
          </w:p>
        </w:tc>
        <w:tc>
          <w:tcPr>
            <w:tcW w:type="dxa" w:w="1680"/>
            <w:shd w:fill="FFFFFF"/>
            <w:vAlign w:val="center"/>
          </w:tcPr>
          <w:p>
            <w:pPr>
              <w:jc w:val="center"/>
            </w:pPr>
            <w:r/>
            <w:r>
              <w:rPr>
                <w:b w:val="0"/>
                <w:color w:val="294A63"/>
                <w:sz w:val="17"/>
              </w:rPr>
              <w:t>Clic CTA</w:t>
            </w:r>
          </w:p>
        </w:tc>
        <w:tc>
          <w:tcPr>
            <w:tcW w:type="dxa" w:w="1680"/>
            <w:shd w:fill="FFFFFF"/>
            <w:vAlign w:val="center"/>
          </w:tcPr>
          <w:p>
            <w:pPr>
              <w:jc w:val="center"/>
            </w:pPr>
            <w:r/>
            <w:r>
              <w:rPr>
                <w:b w:val="0"/>
                <w:color w:val="294A63"/>
                <w:sz w:val="17"/>
              </w:rPr>
              <w:t>2 semaines</w:t>
            </w:r>
          </w:p>
        </w:tc>
      </w:tr>
    </w:tbl>
    <w:p/>
    <w:p>
      <w:pPr>
        <w:pStyle w:val="Heading1"/>
        <w:jc w:val="center"/>
      </w:pPr>
      <w:r>
        <w:rPr>
          <w:color w:val="F2A65A"/>
        </w:rPr>
        <w:t>6. Fidélisation automatisée</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F2A65A"/>
            <w:vAlign w:val="center"/>
          </w:tcPr>
          <w:p>
            <w:pPr>
              <w:jc w:val="center"/>
            </w:pPr>
            <w:r/>
            <w:r>
              <w:rPr>
                <w:b/>
                <w:color w:val="FFFFFF"/>
                <w:sz w:val="18"/>
              </w:rPr>
              <w:t>Déclencheur</w:t>
            </w:r>
          </w:p>
        </w:tc>
        <w:tc>
          <w:tcPr>
            <w:tcW w:type="dxa" w:w="2520"/>
            <w:shd w:fill="F2A65A"/>
            <w:vAlign w:val="center"/>
          </w:tcPr>
          <w:p>
            <w:pPr>
              <w:jc w:val="center"/>
            </w:pPr>
            <w:r/>
            <w:r>
              <w:rPr>
                <w:b/>
                <w:color w:val="FFFFFF"/>
                <w:sz w:val="18"/>
              </w:rPr>
              <w:t>Message</w:t>
            </w:r>
          </w:p>
        </w:tc>
        <w:tc>
          <w:tcPr>
            <w:tcW w:type="dxa" w:w="2520"/>
            <w:shd w:fill="F2A65A"/>
            <w:vAlign w:val="center"/>
          </w:tcPr>
          <w:p>
            <w:pPr>
              <w:jc w:val="center"/>
            </w:pPr>
            <w:r/>
            <w:r>
              <w:rPr>
                <w:b/>
                <w:color w:val="FFFFFF"/>
                <w:sz w:val="18"/>
              </w:rPr>
              <w:t>Délai</w:t>
            </w:r>
          </w:p>
        </w:tc>
        <w:tc>
          <w:tcPr>
            <w:tcW w:type="dxa" w:w="2520"/>
            <w:shd w:fill="F2A65A"/>
            <w:vAlign w:val="center"/>
          </w:tcPr>
          <w:p>
            <w:pPr>
              <w:jc w:val="center"/>
            </w:pPr>
            <w:r/>
            <w:r>
              <w:rPr>
                <w:b/>
                <w:color w:val="FFFFFF"/>
                <w:sz w:val="18"/>
              </w:rPr>
              <w:t>Objectif</w:t>
            </w:r>
          </w:p>
        </w:tc>
      </w:tr>
      <w:tr>
        <w:tc>
          <w:tcPr>
            <w:tcW w:type="dxa" w:w="2520"/>
            <w:shd w:fill="FFFFFF"/>
            <w:vAlign w:val="center"/>
          </w:tcPr>
          <w:p>
            <w:pPr>
              <w:jc w:val="center"/>
            </w:pPr>
            <w:r/>
            <w:r>
              <w:rPr>
                <w:b w:val="0"/>
                <w:color w:val="294A63"/>
                <w:sz w:val="17"/>
              </w:rPr>
              <w:t>Achat confirmé</w:t>
            </w:r>
          </w:p>
        </w:tc>
        <w:tc>
          <w:tcPr>
            <w:tcW w:type="dxa" w:w="2520"/>
            <w:shd w:fill="FFFFFF"/>
            <w:vAlign w:val="center"/>
          </w:tcPr>
          <w:p>
            <w:pPr>
              <w:jc w:val="center"/>
            </w:pPr>
            <w:r/>
            <w:r>
              <w:rPr>
                <w:b w:val="0"/>
                <w:color w:val="294A63"/>
                <w:sz w:val="17"/>
              </w:rPr>
              <w:t>Conseils de préparation</w:t>
            </w:r>
          </w:p>
        </w:tc>
        <w:tc>
          <w:tcPr>
            <w:tcW w:type="dxa" w:w="2520"/>
            <w:shd w:fill="FFFFFF"/>
            <w:vAlign w:val="center"/>
          </w:tcPr>
          <w:p>
            <w:pPr>
              <w:jc w:val="center"/>
            </w:pPr>
            <w:r/>
            <w:r>
              <w:rPr>
                <w:b w:val="0"/>
                <w:color w:val="294A63"/>
                <w:sz w:val="17"/>
              </w:rPr>
              <w:t>Immédiat</w:t>
            </w:r>
          </w:p>
        </w:tc>
        <w:tc>
          <w:tcPr>
            <w:tcW w:type="dxa" w:w="2520"/>
            <w:shd w:fill="FFFFFF"/>
            <w:vAlign w:val="center"/>
          </w:tcPr>
          <w:p>
            <w:pPr>
              <w:jc w:val="center"/>
            </w:pPr>
            <w:r/>
            <w:r>
              <w:rPr>
                <w:b w:val="0"/>
                <w:color w:val="294A63"/>
                <w:sz w:val="17"/>
              </w:rPr>
              <w:t>Réduire les demandes</w:t>
            </w:r>
          </w:p>
        </w:tc>
      </w:tr>
      <w:tr>
        <w:tc>
          <w:tcPr>
            <w:tcW w:type="dxa" w:w="2520"/>
            <w:shd w:fill="F5F9FC"/>
            <w:vAlign w:val="center"/>
          </w:tcPr>
          <w:p>
            <w:pPr>
              <w:jc w:val="center"/>
            </w:pPr>
            <w:r/>
            <w:r>
              <w:rPr>
                <w:b w:val="0"/>
                <w:color w:val="294A63"/>
                <w:sz w:val="17"/>
              </w:rPr>
              <w:t>Livraison</w:t>
            </w:r>
          </w:p>
        </w:tc>
        <w:tc>
          <w:tcPr>
            <w:tcW w:type="dxa" w:w="2520"/>
            <w:shd w:fill="F5F9FC"/>
            <w:vAlign w:val="center"/>
          </w:tcPr>
          <w:p>
            <w:pPr>
              <w:jc w:val="center"/>
            </w:pPr>
            <w:r/>
            <w:r>
              <w:rPr>
                <w:b w:val="0"/>
                <w:color w:val="294A63"/>
                <w:sz w:val="17"/>
              </w:rPr>
              <w:t>Installation et contrôle</w:t>
            </w:r>
          </w:p>
        </w:tc>
        <w:tc>
          <w:tcPr>
            <w:tcW w:type="dxa" w:w="2520"/>
            <w:shd w:fill="F5F9FC"/>
            <w:vAlign w:val="center"/>
          </w:tcPr>
          <w:p>
            <w:pPr>
              <w:jc w:val="center"/>
            </w:pPr>
            <w:r/>
            <w:r>
              <w:rPr>
                <w:b w:val="0"/>
                <w:color w:val="294A63"/>
                <w:sz w:val="17"/>
              </w:rPr>
              <w:t>J+2</w:t>
            </w:r>
          </w:p>
        </w:tc>
        <w:tc>
          <w:tcPr>
            <w:tcW w:type="dxa" w:w="2520"/>
            <w:shd w:fill="F5F9FC"/>
            <w:vAlign w:val="center"/>
          </w:tcPr>
          <w:p>
            <w:pPr>
              <w:jc w:val="center"/>
            </w:pPr>
            <w:r/>
            <w:r>
              <w:rPr>
                <w:b w:val="0"/>
                <w:color w:val="294A63"/>
                <w:sz w:val="17"/>
              </w:rPr>
              <w:t>Usage réussi</w:t>
            </w:r>
          </w:p>
        </w:tc>
      </w:tr>
      <w:tr>
        <w:tc>
          <w:tcPr>
            <w:tcW w:type="dxa" w:w="2520"/>
            <w:shd w:fill="FFFFFF"/>
            <w:vAlign w:val="center"/>
          </w:tcPr>
          <w:p>
            <w:pPr>
              <w:jc w:val="center"/>
            </w:pPr>
            <w:r/>
            <w:r>
              <w:rPr>
                <w:b w:val="0"/>
                <w:color w:val="294A63"/>
                <w:sz w:val="17"/>
              </w:rPr>
              <w:t>Usage estimé</w:t>
            </w:r>
          </w:p>
        </w:tc>
        <w:tc>
          <w:tcPr>
            <w:tcW w:type="dxa" w:w="2520"/>
            <w:shd w:fill="FFFFFF"/>
            <w:vAlign w:val="center"/>
          </w:tcPr>
          <w:p>
            <w:pPr>
              <w:jc w:val="center"/>
            </w:pPr>
            <w:r/>
            <w:r>
              <w:rPr>
                <w:b w:val="0"/>
                <w:color w:val="294A63"/>
                <w:sz w:val="17"/>
              </w:rPr>
              <w:t>Rappel consommable</w:t>
            </w:r>
          </w:p>
        </w:tc>
        <w:tc>
          <w:tcPr>
            <w:tcW w:type="dxa" w:w="2520"/>
            <w:shd w:fill="FFFFFF"/>
            <w:vAlign w:val="center"/>
          </w:tcPr>
          <w:p>
            <w:pPr>
              <w:jc w:val="center"/>
            </w:pPr>
            <w:r/>
            <w:r>
              <w:rPr>
                <w:b w:val="0"/>
                <w:color w:val="294A63"/>
                <w:sz w:val="17"/>
              </w:rPr>
              <w:t>J+45</w:t>
            </w:r>
          </w:p>
        </w:tc>
        <w:tc>
          <w:tcPr>
            <w:tcW w:type="dxa" w:w="2520"/>
            <w:shd w:fill="FFFFFF"/>
            <w:vAlign w:val="center"/>
          </w:tcPr>
          <w:p>
            <w:pPr>
              <w:jc w:val="center"/>
            </w:pPr>
            <w:r/>
            <w:r>
              <w:rPr>
                <w:b w:val="0"/>
                <w:color w:val="294A63"/>
                <w:sz w:val="17"/>
              </w:rPr>
              <w:t>Réachat</w:t>
            </w:r>
          </w:p>
        </w:tc>
      </w:tr>
      <w:tr>
        <w:tc>
          <w:tcPr>
            <w:tcW w:type="dxa" w:w="2520"/>
            <w:shd w:fill="F5F9FC"/>
            <w:vAlign w:val="center"/>
          </w:tcPr>
          <w:p>
            <w:pPr>
              <w:jc w:val="center"/>
            </w:pPr>
            <w:r/>
            <w:r>
              <w:rPr>
                <w:b w:val="0"/>
                <w:color w:val="294A63"/>
                <w:sz w:val="17"/>
              </w:rPr>
              <w:t>Satisfaction élevée</w:t>
            </w:r>
          </w:p>
        </w:tc>
        <w:tc>
          <w:tcPr>
            <w:tcW w:type="dxa" w:w="2520"/>
            <w:shd w:fill="F5F9FC"/>
            <w:vAlign w:val="center"/>
          </w:tcPr>
          <w:p>
            <w:pPr>
              <w:jc w:val="center"/>
            </w:pPr>
            <w:r/>
            <w:r>
              <w:rPr>
                <w:b w:val="0"/>
                <w:color w:val="294A63"/>
                <w:sz w:val="17"/>
              </w:rPr>
              <w:t>Demande d’avis</w:t>
            </w:r>
          </w:p>
        </w:tc>
        <w:tc>
          <w:tcPr>
            <w:tcW w:type="dxa" w:w="2520"/>
            <w:shd w:fill="F5F9FC"/>
            <w:vAlign w:val="center"/>
          </w:tcPr>
          <w:p>
            <w:pPr>
              <w:jc w:val="center"/>
            </w:pPr>
            <w:r/>
            <w:r>
              <w:rPr>
                <w:b w:val="0"/>
                <w:color w:val="294A63"/>
                <w:sz w:val="17"/>
              </w:rPr>
              <w:t>J+10</w:t>
            </w:r>
          </w:p>
        </w:tc>
        <w:tc>
          <w:tcPr>
            <w:tcW w:type="dxa" w:w="2520"/>
            <w:shd w:fill="F5F9FC"/>
            <w:vAlign w:val="center"/>
          </w:tcPr>
          <w:p>
            <w:pPr>
              <w:jc w:val="center"/>
            </w:pPr>
            <w:r/>
            <w:r>
              <w:rPr>
                <w:b w:val="0"/>
                <w:color w:val="294A63"/>
                <w:sz w:val="17"/>
              </w:rPr>
              <w:t>Preuve sociale</w:t>
            </w:r>
          </w:p>
        </w:tc>
      </w:tr>
      <w:tr>
        <w:tc>
          <w:tcPr>
            <w:tcW w:type="dxa" w:w="2520"/>
            <w:shd w:fill="FFFFFF"/>
            <w:vAlign w:val="center"/>
          </w:tcPr>
          <w:p>
            <w:pPr>
              <w:jc w:val="center"/>
            </w:pPr>
            <w:r/>
            <w:r>
              <w:rPr>
                <w:b w:val="0"/>
                <w:color w:val="294A63"/>
                <w:sz w:val="17"/>
              </w:rPr>
              <w:t>Inactivité</w:t>
            </w:r>
          </w:p>
        </w:tc>
        <w:tc>
          <w:tcPr>
            <w:tcW w:type="dxa" w:w="2520"/>
            <w:shd w:fill="FFFFFF"/>
            <w:vAlign w:val="center"/>
          </w:tcPr>
          <w:p>
            <w:pPr>
              <w:jc w:val="center"/>
            </w:pPr>
            <w:r/>
            <w:r>
              <w:rPr>
                <w:b w:val="0"/>
                <w:color w:val="294A63"/>
                <w:sz w:val="17"/>
              </w:rPr>
              <w:t>Sélection personnalisée</w:t>
            </w:r>
          </w:p>
        </w:tc>
        <w:tc>
          <w:tcPr>
            <w:tcW w:type="dxa" w:w="2520"/>
            <w:shd w:fill="FFFFFF"/>
            <w:vAlign w:val="center"/>
          </w:tcPr>
          <w:p>
            <w:pPr>
              <w:jc w:val="center"/>
            </w:pPr>
            <w:r/>
            <w:r>
              <w:rPr>
                <w:b w:val="0"/>
                <w:color w:val="294A63"/>
                <w:sz w:val="17"/>
              </w:rPr>
              <w:t>J+120</w:t>
            </w:r>
          </w:p>
        </w:tc>
        <w:tc>
          <w:tcPr>
            <w:tcW w:type="dxa" w:w="2520"/>
            <w:shd w:fill="FFFFFF"/>
            <w:vAlign w:val="center"/>
          </w:tcPr>
          <w:p>
            <w:pPr>
              <w:jc w:val="center"/>
            </w:pPr>
            <w:r/>
            <w:r>
              <w:rPr>
                <w:b w:val="0"/>
                <w:color w:val="294A63"/>
                <w:sz w:val="17"/>
              </w:rPr>
              <w:t>Réactivation</w:t>
            </w:r>
          </w:p>
        </w:tc>
      </w:tr>
    </w:tbl>
    <w:p/>
    <w:p>
      <w:pPr>
        <w:pStyle w:val="Heading1"/>
        <w:jc w:val="center"/>
      </w:pPr>
      <w:r>
        <w:rPr>
          <w:color w:val="F2A65A"/>
        </w:rPr>
        <w:t>7. Revue de rentabilité</w:t>
      </w:r>
    </w:p>
    <w:p>
      <w:pPr>
        <w:jc w:val="both"/>
      </w:pPr>
      <w:r>
        <w:t>La revue mensuelle compare dépense, chiffre d’affaires, marge, retours et réachat. Un canal est évalué sur sa contribution économique complète. Le volume de commandes constitue un signal, tandis que la marge après acquisition et la fidélité déterminent l’arbitrage final.</w:t>
      </w:r>
    </w:p>
    <w:p>
      <w:pPr>
        <w:pStyle w:val="Heading1"/>
        <w:jc w:val="center"/>
      </w:pPr>
      <w:r>
        <w:rPr>
          <w:color w:val="F2A65A"/>
        </w:rPr>
        <w:t>8. Tableau de pilotage économique</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F2A65A"/>
            <w:vAlign w:val="center"/>
          </w:tcPr>
          <w:p>
            <w:pPr>
              <w:jc w:val="center"/>
            </w:pPr>
            <w:r/>
            <w:r>
              <w:rPr>
                <w:b/>
                <w:color w:val="FFFFFF"/>
                <w:sz w:val="18"/>
              </w:rPr>
              <w:t>Indicateur</w:t>
            </w:r>
          </w:p>
        </w:tc>
        <w:tc>
          <w:tcPr>
            <w:tcW w:type="dxa" w:w="2520"/>
            <w:shd w:fill="F2A65A"/>
            <w:vAlign w:val="center"/>
          </w:tcPr>
          <w:p>
            <w:pPr>
              <w:jc w:val="center"/>
            </w:pPr>
            <w:r/>
            <w:r>
              <w:rPr>
                <w:b/>
                <w:color w:val="FFFFFF"/>
                <w:sz w:val="18"/>
              </w:rPr>
              <w:t>Formule de référence</w:t>
            </w:r>
          </w:p>
        </w:tc>
        <w:tc>
          <w:tcPr>
            <w:tcW w:type="dxa" w:w="2520"/>
            <w:shd w:fill="F2A65A"/>
            <w:vAlign w:val="center"/>
          </w:tcPr>
          <w:p>
            <w:pPr>
              <w:jc w:val="center"/>
            </w:pPr>
            <w:r/>
            <w:r>
              <w:rPr>
                <w:b/>
                <w:color w:val="FFFFFF"/>
                <w:sz w:val="18"/>
              </w:rPr>
              <w:t>Cible</w:t>
            </w:r>
          </w:p>
        </w:tc>
        <w:tc>
          <w:tcPr>
            <w:tcW w:type="dxa" w:w="2520"/>
            <w:shd w:fill="F2A65A"/>
            <w:vAlign w:val="center"/>
          </w:tcPr>
          <w:p>
            <w:pPr>
              <w:jc w:val="center"/>
            </w:pPr>
            <w:r/>
            <w:r>
              <w:rPr>
                <w:b/>
                <w:color w:val="FFFFFF"/>
                <w:sz w:val="18"/>
              </w:rPr>
              <w:t>Décision associée</w:t>
            </w:r>
          </w:p>
        </w:tc>
      </w:tr>
      <w:tr>
        <w:tc>
          <w:tcPr>
            <w:tcW w:type="dxa" w:w="2520"/>
            <w:shd w:fill="FFFFFF"/>
            <w:vAlign w:val="center"/>
          </w:tcPr>
          <w:p>
            <w:pPr>
              <w:jc w:val="center"/>
            </w:pPr>
            <w:r/>
            <w:r>
              <w:rPr>
                <w:b w:val="0"/>
                <w:color w:val="294A63"/>
                <w:sz w:val="17"/>
              </w:rPr>
              <w:t>CPA net</w:t>
            </w:r>
          </w:p>
        </w:tc>
        <w:tc>
          <w:tcPr>
            <w:tcW w:type="dxa" w:w="2520"/>
            <w:shd w:fill="FFFFFF"/>
            <w:vAlign w:val="center"/>
          </w:tcPr>
          <w:p>
            <w:pPr>
              <w:jc w:val="center"/>
            </w:pPr>
            <w:r/>
            <w:r>
              <w:rPr>
                <w:b w:val="0"/>
                <w:color w:val="294A63"/>
                <w:sz w:val="17"/>
              </w:rPr>
              <w:t>Dépenses / nouveaux clients</w:t>
            </w:r>
          </w:p>
        </w:tc>
        <w:tc>
          <w:tcPr>
            <w:tcW w:type="dxa" w:w="2520"/>
            <w:shd w:fill="FFFFFF"/>
            <w:vAlign w:val="center"/>
          </w:tcPr>
          <w:p>
            <w:pPr>
              <w:jc w:val="center"/>
            </w:pPr>
            <w:r/>
            <w:r>
              <w:rPr>
                <w:b w:val="0"/>
                <w:color w:val="294A63"/>
                <w:sz w:val="17"/>
              </w:rPr>
              <w:t>&lt; 35 €</w:t>
            </w:r>
          </w:p>
        </w:tc>
        <w:tc>
          <w:tcPr>
            <w:tcW w:type="dxa" w:w="2520"/>
            <w:shd w:fill="FFFFFF"/>
            <w:vAlign w:val="center"/>
          </w:tcPr>
          <w:p>
            <w:pPr>
              <w:jc w:val="center"/>
            </w:pPr>
            <w:r/>
            <w:r>
              <w:rPr>
                <w:b w:val="0"/>
                <w:color w:val="294A63"/>
                <w:sz w:val="17"/>
              </w:rPr>
              <w:t>Ajuster enchères et ciblage</w:t>
            </w:r>
          </w:p>
        </w:tc>
      </w:tr>
      <w:tr>
        <w:tc>
          <w:tcPr>
            <w:tcW w:type="dxa" w:w="2520"/>
            <w:shd w:fill="F5F9FC"/>
            <w:vAlign w:val="center"/>
          </w:tcPr>
          <w:p>
            <w:pPr>
              <w:jc w:val="center"/>
            </w:pPr>
            <w:r/>
            <w:r>
              <w:rPr>
                <w:b w:val="0"/>
                <w:color w:val="294A63"/>
                <w:sz w:val="17"/>
              </w:rPr>
              <w:t>ROAS marge</w:t>
            </w:r>
          </w:p>
        </w:tc>
        <w:tc>
          <w:tcPr>
            <w:tcW w:type="dxa" w:w="2520"/>
            <w:shd w:fill="F5F9FC"/>
            <w:vAlign w:val="center"/>
          </w:tcPr>
          <w:p>
            <w:pPr>
              <w:jc w:val="center"/>
            </w:pPr>
            <w:r/>
            <w:r>
              <w:rPr>
                <w:b w:val="0"/>
                <w:color w:val="294A63"/>
                <w:sz w:val="17"/>
              </w:rPr>
              <w:t>Marge attribuée / dépenses</w:t>
            </w:r>
          </w:p>
        </w:tc>
        <w:tc>
          <w:tcPr>
            <w:tcW w:type="dxa" w:w="2520"/>
            <w:shd w:fill="F5F9FC"/>
            <w:vAlign w:val="center"/>
          </w:tcPr>
          <w:p>
            <w:pPr>
              <w:jc w:val="center"/>
            </w:pPr>
            <w:r/>
            <w:r>
              <w:rPr>
                <w:b w:val="0"/>
                <w:color w:val="294A63"/>
                <w:sz w:val="17"/>
              </w:rPr>
              <w:t>&gt; 1,8</w:t>
            </w:r>
          </w:p>
        </w:tc>
        <w:tc>
          <w:tcPr>
            <w:tcW w:type="dxa" w:w="2520"/>
            <w:shd w:fill="F5F9FC"/>
            <w:vAlign w:val="center"/>
          </w:tcPr>
          <w:p>
            <w:pPr>
              <w:jc w:val="center"/>
            </w:pPr>
            <w:r/>
            <w:r>
              <w:rPr>
                <w:b w:val="0"/>
                <w:color w:val="294A63"/>
                <w:sz w:val="17"/>
              </w:rPr>
              <w:t>Accélérer le canal</w:t>
            </w:r>
          </w:p>
        </w:tc>
      </w:tr>
      <w:tr>
        <w:tc>
          <w:tcPr>
            <w:tcW w:type="dxa" w:w="2520"/>
            <w:shd w:fill="FFFFFF"/>
            <w:vAlign w:val="center"/>
          </w:tcPr>
          <w:p>
            <w:pPr>
              <w:jc w:val="center"/>
            </w:pPr>
            <w:r/>
            <w:r>
              <w:rPr>
                <w:b w:val="0"/>
                <w:color w:val="294A63"/>
                <w:sz w:val="17"/>
              </w:rPr>
              <w:t>LTV à 12 mois</w:t>
            </w:r>
          </w:p>
        </w:tc>
        <w:tc>
          <w:tcPr>
            <w:tcW w:type="dxa" w:w="2520"/>
            <w:shd w:fill="FFFFFF"/>
            <w:vAlign w:val="center"/>
          </w:tcPr>
          <w:p>
            <w:pPr>
              <w:jc w:val="center"/>
            </w:pPr>
            <w:r/>
            <w:r>
              <w:rPr>
                <w:b w:val="0"/>
                <w:color w:val="294A63"/>
                <w:sz w:val="17"/>
              </w:rPr>
              <w:t>Marge cumulée par cohorte</w:t>
            </w:r>
          </w:p>
        </w:tc>
        <w:tc>
          <w:tcPr>
            <w:tcW w:type="dxa" w:w="2520"/>
            <w:shd w:fill="FFFFFF"/>
            <w:vAlign w:val="center"/>
          </w:tcPr>
          <w:p>
            <w:pPr>
              <w:jc w:val="center"/>
            </w:pPr>
            <w:r/>
            <w:r>
              <w:rPr>
                <w:b w:val="0"/>
                <w:color w:val="294A63"/>
                <w:sz w:val="17"/>
              </w:rPr>
              <w:t>&gt; 260 €</w:t>
            </w:r>
          </w:p>
        </w:tc>
        <w:tc>
          <w:tcPr>
            <w:tcW w:type="dxa" w:w="2520"/>
            <w:shd w:fill="FFFFFF"/>
            <w:vAlign w:val="center"/>
          </w:tcPr>
          <w:p>
            <w:pPr>
              <w:jc w:val="center"/>
            </w:pPr>
            <w:r/>
            <w:r>
              <w:rPr>
                <w:b w:val="0"/>
                <w:color w:val="294A63"/>
                <w:sz w:val="17"/>
              </w:rPr>
              <w:t>Financer la fidélisation</w:t>
            </w:r>
          </w:p>
        </w:tc>
      </w:tr>
      <w:tr>
        <w:tc>
          <w:tcPr>
            <w:tcW w:type="dxa" w:w="2520"/>
            <w:shd w:fill="F5F9FC"/>
            <w:vAlign w:val="center"/>
          </w:tcPr>
          <w:p>
            <w:pPr>
              <w:jc w:val="center"/>
            </w:pPr>
            <w:r/>
            <w:r>
              <w:rPr>
                <w:b w:val="0"/>
                <w:color w:val="294A63"/>
                <w:sz w:val="17"/>
              </w:rPr>
              <w:t>Taux de retour</w:t>
            </w:r>
          </w:p>
        </w:tc>
        <w:tc>
          <w:tcPr>
            <w:tcW w:type="dxa" w:w="2520"/>
            <w:shd w:fill="F5F9FC"/>
            <w:vAlign w:val="center"/>
          </w:tcPr>
          <w:p>
            <w:pPr>
              <w:jc w:val="center"/>
            </w:pPr>
            <w:r/>
            <w:r>
              <w:rPr>
                <w:b w:val="0"/>
                <w:color w:val="294A63"/>
                <w:sz w:val="17"/>
              </w:rPr>
              <w:t>Retours / commandes</w:t>
            </w:r>
          </w:p>
        </w:tc>
        <w:tc>
          <w:tcPr>
            <w:tcW w:type="dxa" w:w="2520"/>
            <w:shd w:fill="F5F9FC"/>
            <w:vAlign w:val="center"/>
          </w:tcPr>
          <w:p>
            <w:pPr>
              <w:jc w:val="center"/>
            </w:pPr>
            <w:r/>
            <w:r>
              <w:rPr>
                <w:b w:val="0"/>
                <w:color w:val="294A63"/>
                <w:sz w:val="17"/>
              </w:rPr>
              <w:t>&lt; 6 %</w:t>
            </w:r>
          </w:p>
        </w:tc>
        <w:tc>
          <w:tcPr>
            <w:tcW w:type="dxa" w:w="2520"/>
            <w:shd w:fill="F5F9FC"/>
            <w:vAlign w:val="center"/>
          </w:tcPr>
          <w:p>
            <w:pPr>
              <w:jc w:val="center"/>
            </w:pPr>
            <w:r/>
            <w:r>
              <w:rPr>
                <w:b w:val="0"/>
                <w:color w:val="294A63"/>
                <w:sz w:val="17"/>
              </w:rPr>
              <w:t>Corriger offre ou information</w:t>
            </w:r>
          </w:p>
        </w:tc>
      </w:tr>
      <w:tr>
        <w:tc>
          <w:tcPr>
            <w:tcW w:type="dxa" w:w="2520"/>
            <w:shd w:fill="FFFFFF"/>
            <w:vAlign w:val="center"/>
          </w:tcPr>
          <w:p>
            <w:pPr>
              <w:jc w:val="center"/>
            </w:pPr>
            <w:r/>
            <w:r>
              <w:rPr>
                <w:b w:val="0"/>
                <w:color w:val="294A63"/>
                <w:sz w:val="17"/>
              </w:rPr>
              <w:t>Rupture utile</w:t>
            </w:r>
          </w:p>
        </w:tc>
        <w:tc>
          <w:tcPr>
            <w:tcW w:type="dxa" w:w="2520"/>
            <w:shd w:fill="FFFFFF"/>
            <w:vAlign w:val="center"/>
          </w:tcPr>
          <w:p>
            <w:pPr>
              <w:jc w:val="center"/>
            </w:pPr>
            <w:r/>
            <w:r>
              <w:rPr>
                <w:b w:val="0"/>
                <w:color w:val="294A63"/>
                <w:sz w:val="17"/>
              </w:rPr>
              <w:t>Jours indisponibles sur best-sellers</w:t>
            </w:r>
          </w:p>
        </w:tc>
        <w:tc>
          <w:tcPr>
            <w:tcW w:type="dxa" w:w="2520"/>
            <w:shd w:fill="FFFFFF"/>
            <w:vAlign w:val="center"/>
          </w:tcPr>
          <w:p>
            <w:pPr>
              <w:jc w:val="center"/>
            </w:pPr>
            <w:r/>
            <w:r>
              <w:rPr>
                <w:b w:val="0"/>
                <w:color w:val="294A63"/>
                <w:sz w:val="17"/>
              </w:rPr>
              <w:t>&lt; 3 jours</w:t>
            </w:r>
          </w:p>
        </w:tc>
        <w:tc>
          <w:tcPr>
            <w:tcW w:type="dxa" w:w="2520"/>
            <w:shd w:fill="FFFFFF"/>
            <w:vAlign w:val="center"/>
          </w:tcPr>
          <w:p>
            <w:pPr>
              <w:jc w:val="center"/>
            </w:pPr>
            <w:r/>
            <w:r>
              <w:rPr>
                <w:b w:val="0"/>
                <w:color w:val="294A63"/>
                <w:sz w:val="17"/>
              </w:rPr>
              <w:t>Sécuriser le stock</w:t>
            </w:r>
          </w:p>
        </w:tc>
      </w:tr>
    </w:tbl>
    <w:p/>
    <w:p>
      <w:pPr>
        <w:pStyle w:val="Heading1"/>
        <w:jc w:val="center"/>
      </w:pPr>
      <w:r>
        <w:rPr>
          <w:color w:val="F2A65A"/>
        </w:rPr>
        <w:t>9. Plan promotionnel responsable</w:t>
      </w:r>
    </w:p>
    <w:tbl>
      <w:tblPr>
        <w:tblW w:type="auto" w:w="0"/>
        <w:jc w:val="center"/>
        <w:tblLayout w:type="autofit"/>
        <w:tblLook w:firstColumn="1" w:firstRow="1" w:lastColumn="0" w:lastRow="0" w:noHBand="0" w:noVBand="1" w:val="04A0"/>
      </w:tblPr>
      <w:tblGrid>
        <w:gridCol w:w="2016"/>
        <w:gridCol w:w="2016"/>
        <w:gridCol w:w="2016"/>
        <w:gridCol w:w="2016"/>
        <w:gridCol w:w="2016"/>
      </w:tblGrid>
      <w:tr>
        <w:tc>
          <w:tcPr>
            <w:tcW w:type="dxa" w:w="2016"/>
            <w:shd w:fill="F2A65A"/>
            <w:vAlign w:val="center"/>
          </w:tcPr>
          <w:p>
            <w:pPr>
              <w:jc w:val="center"/>
            </w:pPr>
            <w:r/>
            <w:r>
              <w:rPr>
                <w:b/>
                <w:color w:val="FFFFFF"/>
                <w:sz w:val="18"/>
              </w:rPr>
              <w:t>Temps fort</w:t>
            </w:r>
          </w:p>
        </w:tc>
        <w:tc>
          <w:tcPr>
            <w:tcW w:type="dxa" w:w="2016"/>
            <w:shd w:fill="F2A65A"/>
            <w:vAlign w:val="center"/>
          </w:tcPr>
          <w:p>
            <w:pPr>
              <w:jc w:val="center"/>
            </w:pPr>
            <w:r/>
            <w:r>
              <w:rPr>
                <w:b/>
                <w:color w:val="FFFFFF"/>
                <w:sz w:val="18"/>
              </w:rPr>
              <w:t>Mécanique</w:t>
            </w:r>
          </w:p>
        </w:tc>
        <w:tc>
          <w:tcPr>
            <w:tcW w:type="dxa" w:w="2016"/>
            <w:shd w:fill="F2A65A"/>
            <w:vAlign w:val="center"/>
          </w:tcPr>
          <w:p>
            <w:pPr>
              <w:jc w:val="center"/>
            </w:pPr>
            <w:r/>
            <w:r>
              <w:rPr>
                <w:b/>
                <w:color w:val="FFFFFF"/>
                <w:sz w:val="18"/>
              </w:rPr>
              <w:t>Segment</w:t>
            </w:r>
          </w:p>
        </w:tc>
        <w:tc>
          <w:tcPr>
            <w:tcW w:type="dxa" w:w="2016"/>
            <w:shd w:fill="F2A65A"/>
            <w:vAlign w:val="center"/>
          </w:tcPr>
          <w:p>
            <w:pPr>
              <w:jc w:val="center"/>
            </w:pPr>
            <w:r/>
            <w:r>
              <w:rPr>
                <w:b/>
                <w:color w:val="FFFFFF"/>
                <w:sz w:val="18"/>
              </w:rPr>
              <w:t>Garde-fou marge</w:t>
            </w:r>
          </w:p>
        </w:tc>
        <w:tc>
          <w:tcPr>
            <w:tcW w:type="dxa" w:w="2016"/>
            <w:shd w:fill="F2A65A"/>
            <w:vAlign w:val="center"/>
          </w:tcPr>
          <w:p>
            <w:pPr>
              <w:jc w:val="center"/>
            </w:pPr>
            <w:r/>
            <w:r>
              <w:rPr>
                <w:b/>
                <w:color w:val="FFFFFF"/>
                <w:sz w:val="18"/>
              </w:rPr>
              <w:t>Mesure</w:t>
            </w:r>
          </w:p>
        </w:tc>
      </w:tr>
      <w:tr>
        <w:tc>
          <w:tcPr>
            <w:tcW w:type="dxa" w:w="2016"/>
            <w:shd w:fill="FFFFFF"/>
            <w:vAlign w:val="center"/>
          </w:tcPr>
          <w:p>
            <w:pPr>
              <w:jc w:val="center"/>
            </w:pPr>
            <w:r/>
            <w:r>
              <w:rPr>
                <w:b w:val="0"/>
                <w:color w:val="294A63"/>
                <w:sz w:val="17"/>
              </w:rPr>
              <w:t>Rentrée professionnelle</w:t>
            </w:r>
          </w:p>
        </w:tc>
        <w:tc>
          <w:tcPr>
            <w:tcW w:type="dxa" w:w="2016"/>
            <w:shd w:fill="FFFFFF"/>
            <w:vAlign w:val="center"/>
          </w:tcPr>
          <w:p>
            <w:pPr>
              <w:jc w:val="center"/>
            </w:pPr>
            <w:r/>
            <w:r>
              <w:rPr>
                <w:b w:val="0"/>
                <w:color w:val="294A63"/>
                <w:sz w:val="17"/>
              </w:rPr>
              <w:t>Pack complémentaire</w:t>
            </w:r>
          </w:p>
        </w:tc>
        <w:tc>
          <w:tcPr>
            <w:tcW w:type="dxa" w:w="2016"/>
            <w:shd w:fill="FFFFFF"/>
            <w:vAlign w:val="center"/>
          </w:tcPr>
          <w:p>
            <w:pPr>
              <w:jc w:val="center"/>
            </w:pPr>
            <w:r/>
            <w:r>
              <w:rPr>
                <w:b w:val="0"/>
                <w:color w:val="294A63"/>
                <w:sz w:val="17"/>
              </w:rPr>
              <w:t>Nouveaux comptes</w:t>
            </w:r>
          </w:p>
        </w:tc>
        <w:tc>
          <w:tcPr>
            <w:tcW w:type="dxa" w:w="2016"/>
            <w:shd w:fill="FFFFFF"/>
            <w:vAlign w:val="center"/>
          </w:tcPr>
          <w:p>
            <w:pPr>
              <w:jc w:val="center"/>
            </w:pPr>
            <w:r/>
            <w:r>
              <w:rPr>
                <w:b w:val="0"/>
                <w:color w:val="294A63"/>
                <w:sz w:val="17"/>
              </w:rPr>
              <w:t>Marge ≥ 27 %</w:t>
            </w:r>
          </w:p>
        </w:tc>
        <w:tc>
          <w:tcPr>
            <w:tcW w:type="dxa" w:w="2016"/>
            <w:shd w:fill="FFFFFF"/>
            <w:vAlign w:val="center"/>
          </w:tcPr>
          <w:p>
            <w:pPr>
              <w:jc w:val="center"/>
            </w:pPr>
            <w:r/>
            <w:r>
              <w:rPr>
                <w:b w:val="0"/>
                <w:color w:val="294A63"/>
                <w:sz w:val="17"/>
              </w:rPr>
              <w:t>Panier et marge</w:t>
            </w:r>
          </w:p>
        </w:tc>
      </w:tr>
      <w:tr>
        <w:tc>
          <w:tcPr>
            <w:tcW w:type="dxa" w:w="2016"/>
            <w:shd w:fill="F5F9FC"/>
            <w:vAlign w:val="center"/>
          </w:tcPr>
          <w:p>
            <w:pPr>
              <w:jc w:val="center"/>
            </w:pPr>
            <w:r/>
            <w:r>
              <w:rPr>
                <w:b w:val="0"/>
                <w:color w:val="294A63"/>
                <w:sz w:val="17"/>
              </w:rPr>
              <w:t>Réassort trimestriel</w:t>
            </w:r>
          </w:p>
        </w:tc>
        <w:tc>
          <w:tcPr>
            <w:tcW w:type="dxa" w:w="2016"/>
            <w:shd w:fill="F5F9FC"/>
            <w:vAlign w:val="center"/>
          </w:tcPr>
          <w:p>
            <w:pPr>
              <w:jc w:val="center"/>
            </w:pPr>
            <w:r/>
            <w:r>
              <w:rPr>
                <w:b w:val="0"/>
                <w:color w:val="294A63"/>
                <w:sz w:val="17"/>
              </w:rPr>
              <w:t>Rappel personnalisé</w:t>
            </w:r>
          </w:p>
        </w:tc>
        <w:tc>
          <w:tcPr>
            <w:tcW w:type="dxa" w:w="2016"/>
            <w:shd w:fill="F5F9FC"/>
            <w:vAlign w:val="center"/>
          </w:tcPr>
          <w:p>
            <w:pPr>
              <w:jc w:val="center"/>
            </w:pPr>
            <w:r/>
            <w:r>
              <w:rPr>
                <w:b w:val="0"/>
                <w:color w:val="294A63"/>
                <w:sz w:val="17"/>
              </w:rPr>
              <w:t>Clients actifs</w:t>
            </w:r>
          </w:p>
        </w:tc>
        <w:tc>
          <w:tcPr>
            <w:tcW w:type="dxa" w:w="2016"/>
            <w:shd w:fill="F5F9FC"/>
            <w:vAlign w:val="center"/>
          </w:tcPr>
          <w:p>
            <w:pPr>
              <w:jc w:val="center"/>
            </w:pPr>
            <w:r/>
            <w:r>
              <w:rPr>
                <w:b w:val="0"/>
                <w:color w:val="294A63"/>
                <w:sz w:val="17"/>
              </w:rPr>
              <w:t>Pas de remise systématique</w:t>
            </w:r>
          </w:p>
        </w:tc>
        <w:tc>
          <w:tcPr>
            <w:tcW w:type="dxa" w:w="2016"/>
            <w:shd w:fill="F5F9FC"/>
            <w:vAlign w:val="center"/>
          </w:tcPr>
          <w:p>
            <w:pPr>
              <w:jc w:val="center"/>
            </w:pPr>
            <w:r/>
            <w:r>
              <w:rPr>
                <w:b w:val="0"/>
                <w:color w:val="294A63"/>
                <w:sz w:val="17"/>
              </w:rPr>
              <w:t>Réachat</w:t>
            </w:r>
          </w:p>
        </w:tc>
      </w:tr>
      <w:tr>
        <w:tc>
          <w:tcPr>
            <w:tcW w:type="dxa" w:w="2016"/>
            <w:shd w:fill="FFFFFF"/>
            <w:vAlign w:val="center"/>
          </w:tcPr>
          <w:p>
            <w:pPr>
              <w:jc w:val="center"/>
            </w:pPr>
            <w:r/>
            <w:r>
              <w:rPr>
                <w:b w:val="0"/>
                <w:color w:val="294A63"/>
                <w:sz w:val="17"/>
              </w:rPr>
              <w:t>Fin de série</w:t>
            </w:r>
          </w:p>
        </w:tc>
        <w:tc>
          <w:tcPr>
            <w:tcW w:type="dxa" w:w="2016"/>
            <w:shd w:fill="FFFFFF"/>
            <w:vAlign w:val="center"/>
          </w:tcPr>
          <w:p>
            <w:pPr>
              <w:jc w:val="center"/>
            </w:pPr>
            <w:r/>
            <w:r>
              <w:rPr>
                <w:b w:val="0"/>
                <w:color w:val="294A63"/>
                <w:sz w:val="17"/>
              </w:rPr>
              <w:t>Réduction progressive</w:t>
            </w:r>
          </w:p>
        </w:tc>
        <w:tc>
          <w:tcPr>
            <w:tcW w:type="dxa" w:w="2016"/>
            <w:shd w:fill="FFFFFF"/>
            <w:vAlign w:val="center"/>
          </w:tcPr>
          <w:p>
            <w:pPr>
              <w:jc w:val="center"/>
            </w:pPr>
            <w:r/>
            <w:r>
              <w:rPr>
                <w:b w:val="0"/>
                <w:color w:val="294A63"/>
                <w:sz w:val="17"/>
              </w:rPr>
              <w:t>Acheteurs sensibles au prix</w:t>
            </w:r>
          </w:p>
        </w:tc>
        <w:tc>
          <w:tcPr>
            <w:tcW w:type="dxa" w:w="2016"/>
            <w:shd w:fill="FFFFFF"/>
            <w:vAlign w:val="center"/>
          </w:tcPr>
          <w:p>
            <w:pPr>
              <w:jc w:val="center"/>
            </w:pPr>
            <w:r/>
            <w:r>
              <w:rPr>
                <w:b w:val="0"/>
                <w:color w:val="294A63"/>
                <w:sz w:val="17"/>
              </w:rPr>
              <w:t>Stock ciblé uniquement</w:t>
            </w:r>
          </w:p>
        </w:tc>
        <w:tc>
          <w:tcPr>
            <w:tcW w:type="dxa" w:w="2016"/>
            <w:shd w:fill="FFFFFF"/>
            <w:vAlign w:val="center"/>
          </w:tcPr>
          <w:p>
            <w:pPr>
              <w:jc w:val="center"/>
            </w:pPr>
            <w:r/>
            <w:r>
              <w:rPr>
                <w:b w:val="0"/>
                <w:color w:val="294A63"/>
                <w:sz w:val="17"/>
              </w:rPr>
              <w:t>Écoulement net</w:t>
            </w:r>
          </w:p>
        </w:tc>
      </w:tr>
    </w:tbl>
    <w:p/>
    <w:p>
      <w:pPr>
        <w:pStyle w:val="Heading1"/>
        <w:jc w:val="center"/>
      </w:pPr>
      <w:r>
        <w:rPr>
          <w:color w:val="F2A65A"/>
        </w:rPr>
        <w:t>10. Checklist de mise en production</w:t>
      </w:r>
    </w:p>
    <w:tbl>
      <w:tblPr>
        <w:tblW w:type="auto" w:w="0"/>
        <w:jc w:val="center"/>
        <w:tblLayout w:type="autofit"/>
        <w:tblLook w:firstColumn="1" w:firstRow="1" w:lastColumn="0" w:lastRow="0" w:noHBand="0" w:noVBand="1" w:val="04A0"/>
      </w:tblPr>
      <w:tblGrid>
        <w:gridCol w:w="3360"/>
        <w:gridCol w:w="3360"/>
        <w:gridCol w:w="3360"/>
      </w:tblGrid>
      <w:tr>
        <w:tc>
          <w:tcPr>
            <w:tcW w:type="dxa" w:w="3360"/>
            <w:shd w:fill="F2A65A"/>
            <w:vAlign w:val="center"/>
          </w:tcPr>
          <w:p>
            <w:pPr>
              <w:jc w:val="center"/>
            </w:pPr>
            <w:r/>
            <w:r>
              <w:rPr>
                <w:b/>
                <w:color w:val="FFFFFF"/>
                <w:sz w:val="18"/>
              </w:rPr>
              <w:t>Contrôle</w:t>
            </w:r>
          </w:p>
        </w:tc>
        <w:tc>
          <w:tcPr>
            <w:tcW w:type="dxa" w:w="3360"/>
            <w:shd w:fill="F2A65A"/>
            <w:vAlign w:val="center"/>
          </w:tcPr>
          <w:p>
            <w:pPr>
              <w:jc w:val="center"/>
            </w:pPr>
            <w:r/>
            <w:r>
              <w:rPr>
                <w:b/>
                <w:color w:val="FFFFFF"/>
                <w:sz w:val="18"/>
              </w:rPr>
              <w:t>Propriétaire</w:t>
            </w:r>
          </w:p>
        </w:tc>
        <w:tc>
          <w:tcPr>
            <w:tcW w:type="dxa" w:w="3360"/>
            <w:shd w:fill="F2A65A"/>
            <w:vAlign w:val="center"/>
          </w:tcPr>
          <w:p>
            <w:pPr>
              <w:jc w:val="center"/>
            </w:pPr>
            <w:r/>
            <w:r>
              <w:rPr>
                <w:b/>
                <w:color w:val="FFFFFF"/>
                <w:sz w:val="18"/>
              </w:rPr>
              <w:t>Validation</w:t>
            </w:r>
          </w:p>
        </w:tc>
      </w:tr>
      <w:tr>
        <w:tc>
          <w:tcPr>
            <w:tcW w:type="dxa" w:w="3360"/>
            <w:shd w:fill="FFFFFF"/>
            <w:vAlign w:val="center"/>
          </w:tcPr>
          <w:p>
            <w:pPr>
              <w:jc w:val="center"/>
            </w:pPr>
            <w:r/>
            <w:r>
              <w:rPr>
                <w:b w:val="0"/>
                <w:color w:val="294A63"/>
                <w:sz w:val="17"/>
              </w:rPr>
              <w:t>Prix, TVA, stock et délais vérifiés</w:t>
            </w:r>
          </w:p>
        </w:tc>
        <w:tc>
          <w:tcPr>
            <w:tcW w:type="dxa" w:w="3360"/>
            <w:shd w:fill="FFFFFF"/>
            <w:vAlign w:val="center"/>
          </w:tcPr>
          <w:p>
            <w:pPr>
              <w:jc w:val="center"/>
            </w:pPr>
            <w:r/>
            <w:r>
              <w:rPr>
                <w:b w:val="0"/>
                <w:color w:val="294A63"/>
                <w:sz w:val="17"/>
              </w:rPr>
              <w:t>E-commerce</w:t>
            </w:r>
          </w:p>
        </w:tc>
        <w:tc>
          <w:tcPr>
            <w:tcW w:type="dxa" w:w="3360"/>
            <w:shd w:fill="FFFFFF"/>
            <w:vAlign w:val="center"/>
          </w:tcPr>
          <w:p>
            <w:pPr>
              <w:jc w:val="center"/>
            </w:pPr>
            <w:r/>
            <w:r>
              <w:rPr>
                <w:b w:val="0"/>
                <w:color w:val="294A63"/>
                <w:sz w:val="17"/>
              </w:rPr>
              <w:t>□</w:t>
            </w:r>
          </w:p>
        </w:tc>
      </w:tr>
      <w:tr>
        <w:tc>
          <w:tcPr>
            <w:tcW w:type="dxa" w:w="3360"/>
            <w:shd w:fill="F5F9FC"/>
            <w:vAlign w:val="center"/>
          </w:tcPr>
          <w:p>
            <w:pPr>
              <w:jc w:val="center"/>
            </w:pPr>
            <w:r/>
            <w:r>
              <w:rPr>
                <w:b w:val="0"/>
                <w:color w:val="294A63"/>
                <w:sz w:val="17"/>
              </w:rPr>
              <w:t>Tracking achat et consentement testé</w:t>
            </w:r>
          </w:p>
        </w:tc>
        <w:tc>
          <w:tcPr>
            <w:tcW w:type="dxa" w:w="3360"/>
            <w:shd w:fill="F5F9FC"/>
            <w:vAlign w:val="center"/>
          </w:tcPr>
          <w:p>
            <w:pPr>
              <w:jc w:val="center"/>
            </w:pPr>
            <w:r/>
            <w:r>
              <w:rPr>
                <w:b w:val="0"/>
                <w:color w:val="294A63"/>
                <w:sz w:val="17"/>
              </w:rPr>
              <w:t>Data</w:t>
            </w:r>
          </w:p>
        </w:tc>
        <w:tc>
          <w:tcPr>
            <w:tcW w:type="dxa" w:w="3360"/>
            <w:shd w:fill="F5F9FC"/>
            <w:vAlign w:val="center"/>
          </w:tcPr>
          <w:p>
            <w:pPr>
              <w:jc w:val="center"/>
            </w:pPr>
            <w:r/>
            <w:r>
              <w:rPr>
                <w:b w:val="0"/>
                <w:color w:val="294A63"/>
                <w:sz w:val="17"/>
              </w:rPr>
              <w:t>□</w:t>
            </w:r>
          </w:p>
        </w:tc>
      </w:tr>
      <w:tr>
        <w:tc>
          <w:tcPr>
            <w:tcW w:type="dxa" w:w="3360"/>
            <w:shd w:fill="FFFFFF"/>
            <w:vAlign w:val="center"/>
          </w:tcPr>
          <w:p>
            <w:pPr>
              <w:jc w:val="center"/>
            </w:pPr>
            <w:r/>
            <w:r>
              <w:rPr>
                <w:b w:val="0"/>
                <w:color w:val="294A63"/>
                <w:sz w:val="17"/>
              </w:rPr>
              <w:t>E-mails transactionnels relus sur mobile</w:t>
            </w:r>
          </w:p>
        </w:tc>
        <w:tc>
          <w:tcPr>
            <w:tcW w:type="dxa" w:w="3360"/>
            <w:shd w:fill="FFFFFF"/>
            <w:vAlign w:val="center"/>
          </w:tcPr>
          <w:p>
            <w:pPr>
              <w:jc w:val="center"/>
            </w:pPr>
            <w:r/>
            <w:r>
              <w:rPr>
                <w:b w:val="0"/>
                <w:color w:val="294A63"/>
                <w:sz w:val="17"/>
              </w:rPr>
              <w:t>CRM</w:t>
            </w:r>
          </w:p>
        </w:tc>
        <w:tc>
          <w:tcPr>
            <w:tcW w:type="dxa" w:w="3360"/>
            <w:shd w:fill="FFFFFF"/>
            <w:vAlign w:val="center"/>
          </w:tcPr>
          <w:p>
            <w:pPr>
              <w:jc w:val="center"/>
            </w:pPr>
            <w:r/>
            <w:r>
              <w:rPr>
                <w:b w:val="0"/>
                <w:color w:val="294A63"/>
                <w:sz w:val="17"/>
              </w:rPr>
              <w:t>□</w:t>
            </w:r>
          </w:p>
        </w:tc>
      </w:tr>
      <w:tr>
        <w:tc>
          <w:tcPr>
            <w:tcW w:type="dxa" w:w="3360"/>
            <w:shd w:fill="F5F9FC"/>
            <w:vAlign w:val="center"/>
          </w:tcPr>
          <w:p>
            <w:pPr>
              <w:jc w:val="center"/>
            </w:pPr>
            <w:r/>
            <w:r>
              <w:rPr>
                <w:b w:val="0"/>
                <w:color w:val="294A63"/>
                <w:sz w:val="17"/>
              </w:rPr>
              <w:t>Règles de livraison et retour visibles</w:t>
            </w:r>
          </w:p>
        </w:tc>
        <w:tc>
          <w:tcPr>
            <w:tcW w:type="dxa" w:w="3360"/>
            <w:shd w:fill="F5F9FC"/>
            <w:vAlign w:val="center"/>
          </w:tcPr>
          <w:p>
            <w:pPr>
              <w:jc w:val="center"/>
            </w:pPr>
            <w:r/>
            <w:r>
              <w:rPr>
                <w:b w:val="0"/>
                <w:color w:val="294A63"/>
                <w:sz w:val="17"/>
              </w:rPr>
              <w:t>Service client</w:t>
            </w:r>
          </w:p>
        </w:tc>
        <w:tc>
          <w:tcPr>
            <w:tcW w:type="dxa" w:w="3360"/>
            <w:shd w:fill="F5F9FC"/>
            <w:vAlign w:val="center"/>
          </w:tcPr>
          <w:p>
            <w:pPr>
              <w:jc w:val="center"/>
            </w:pPr>
            <w:r/>
            <w:r>
              <w:rPr>
                <w:b w:val="0"/>
                <w:color w:val="294A63"/>
                <w:sz w:val="17"/>
              </w:rPr>
              <w:t>□</w:t>
            </w:r>
          </w:p>
        </w:tc>
      </w:tr>
      <w:tr>
        <w:tc>
          <w:tcPr>
            <w:tcW w:type="dxa" w:w="3360"/>
            <w:shd w:fill="FFFFFF"/>
            <w:vAlign w:val="center"/>
          </w:tcPr>
          <w:p>
            <w:pPr>
              <w:jc w:val="center"/>
            </w:pPr>
            <w:r/>
            <w:r>
              <w:rPr>
                <w:b w:val="0"/>
                <w:color w:val="294A63"/>
                <w:sz w:val="17"/>
              </w:rPr>
              <w:t>Tableau de marge alimenté</w:t>
            </w:r>
          </w:p>
        </w:tc>
        <w:tc>
          <w:tcPr>
            <w:tcW w:type="dxa" w:w="3360"/>
            <w:shd w:fill="FFFFFF"/>
            <w:vAlign w:val="center"/>
          </w:tcPr>
          <w:p>
            <w:pPr>
              <w:jc w:val="center"/>
            </w:pPr>
            <w:r/>
            <w:r>
              <w:rPr>
                <w:b w:val="0"/>
                <w:color w:val="294A63"/>
                <w:sz w:val="17"/>
              </w:rPr>
              <w:t>Finance</w:t>
            </w:r>
          </w:p>
        </w:tc>
        <w:tc>
          <w:tcPr>
            <w:tcW w:type="dxa" w:w="3360"/>
            <w:shd w:fill="FFFFFF"/>
            <w:vAlign w:val="center"/>
          </w:tcPr>
          <w:p>
            <w:pPr>
              <w:jc w:val="center"/>
            </w:pPr>
            <w:r/>
            <w:r>
              <w:rPr>
                <w:b w:val="0"/>
                <w:color w:val="294A63"/>
                <w:sz w:val="17"/>
              </w:rPr>
              <w:t>□</w:t>
            </w:r>
          </w:p>
        </w:tc>
      </w:tr>
      <w:tr>
        <w:tc>
          <w:tcPr>
            <w:tcW w:type="dxa" w:w="3360"/>
            <w:shd w:fill="F5F9FC"/>
            <w:vAlign w:val="center"/>
          </w:tcPr>
          <w:p>
            <w:pPr>
              <w:jc w:val="center"/>
            </w:pPr>
            <w:r/>
            <w:r>
              <w:rPr>
                <w:b w:val="0"/>
                <w:color w:val="294A63"/>
                <w:sz w:val="17"/>
              </w:rPr>
              <w:t>Plan de repli documenté</w:t>
            </w:r>
          </w:p>
        </w:tc>
        <w:tc>
          <w:tcPr>
            <w:tcW w:type="dxa" w:w="3360"/>
            <w:shd w:fill="F5F9FC"/>
            <w:vAlign w:val="center"/>
          </w:tcPr>
          <w:p>
            <w:pPr>
              <w:jc w:val="center"/>
            </w:pPr>
            <w:r/>
            <w:r>
              <w:rPr>
                <w:b w:val="0"/>
                <w:color w:val="294A63"/>
                <w:sz w:val="17"/>
              </w:rPr>
              <w:t>Direction</w:t>
            </w:r>
          </w:p>
        </w:tc>
        <w:tc>
          <w:tcPr>
            <w:tcW w:type="dxa" w:w="3360"/>
            <w:shd w:fill="F5F9FC"/>
            <w:vAlign w:val="center"/>
          </w:tcPr>
          <w:p>
            <w:pPr>
              <w:jc w:val="center"/>
            </w:pPr>
            <w:r/>
            <w:r>
              <w:rPr>
                <w:b w:val="0"/>
                <w:color w:val="294A63"/>
                <w:sz w:val="17"/>
              </w:rPr>
              <w:t>□</w:t>
            </w:r>
          </w:p>
        </w:tc>
      </w:tr>
    </w:tbl>
    <w:p/>
    <w:sectPr w:rsidR="00FC693F" w:rsidRPr="0006063C" w:rsidSect="00034616">
      <w:headerReference w:type="default" r:id="rId9"/>
      <w:footerReference w:type="default" r:id="rId10"/>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F8798"/>
        <w:sz w:val="16"/>
      </w:rPr>
      <w:t>Modèle professionnel à personnaliser selon les données validées de l’organisation.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F2A65A"/>
        <w:sz w:val="16"/>
      </w:rPr>
      <w:t>LCG | STRATÉGIE DIGITALE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294A6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