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3F83B8"/>
          <w:sz w:val="22"/>
        </w:rPr>
        <w:t>COLLECTION PREMIUM LCG</w:t>
      </w:r>
    </w:p>
    <w:p>
      <w:pPr>
        <w:jc w:val="center"/>
        <w:pBdr>
          <w:bottom w:val="single" w:sz="18" w:color="3F83B8"/>
        </w:pBdr>
      </w:pPr>
      <w:r>
        <w:rPr>
          <w:b/>
          <w:color w:val="173F5F"/>
          <w:sz w:val="52"/>
        </w:rPr>
        <w:t>AUDIT DIGITAL COMPLET</w:t>
      </w:r>
    </w:p>
    <w:p>
      <w:pPr>
        <w:jc w:val="center"/>
      </w:pPr>
      <w:r>
        <w:rPr>
          <w:color w:val="294A63"/>
          <w:sz w:val="26"/>
        </w:rPr>
        <w:t>Évaluation de maturité, risques, quick wins et feuille de route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3F83B8"/>
            <w:vAlign w:val="center"/>
          </w:tcPr>
          <w:p>
            <w:pPr>
              <w:jc w:val="center"/>
            </w:pPr>
            <w:r/>
            <w:r>
              <w:rPr>
                <w:b/>
                <w:color w:val="FFFFFF"/>
                <w:sz w:val="18"/>
              </w:rPr>
              <w:t>Organisation</w:t>
            </w:r>
          </w:p>
        </w:tc>
        <w:tc>
          <w:tcPr>
            <w:tcW w:type="dxa" w:w="2520"/>
            <w:shd w:fill="3F83B8"/>
            <w:vAlign w:val="center"/>
          </w:tcPr>
          <w:p>
            <w:pPr>
              <w:jc w:val="center"/>
            </w:pPr>
            <w:r/>
            <w:r>
              <w:rPr>
                <w:b/>
                <w:color w:val="FFFFFF"/>
                <w:sz w:val="18"/>
              </w:rPr>
              <w:t>Période</w:t>
            </w:r>
          </w:p>
        </w:tc>
        <w:tc>
          <w:tcPr>
            <w:tcW w:type="dxa" w:w="2520"/>
            <w:shd w:fill="3F83B8"/>
            <w:vAlign w:val="center"/>
          </w:tcPr>
          <w:p>
            <w:pPr>
              <w:jc w:val="center"/>
            </w:pPr>
            <w:r/>
            <w:r>
              <w:rPr>
                <w:b/>
                <w:color w:val="FFFFFF"/>
                <w:sz w:val="18"/>
              </w:rPr>
              <w:t>Pilote</w:t>
            </w:r>
          </w:p>
        </w:tc>
        <w:tc>
          <w:tcPr>
            <w:tcW w:type="dxa" w:w="2520"/>
            <w:shd w:fill="3F83B8"/>
            <w:vAlign w:val="center"/>
          </w:tcPr>
          <w:p>
            <w:pPr>
              <w:jc w:val="center"/>
            </w:pPr>
            <w:r/>
            <w:r>
              <w:rPr>
                <w:b/>
                <w:color w:val="FFFFFF"/>
                <w:sz w:val="18"/>
              </w:rPr>
              <w:t>Version</w:t>
            </w:r>
          </w:p>
        </w:tc>
      </w:tr>
      <w:tr>
        <w:tc>
          <w:tcPr>
            <w:tcW w:type="dxa" w:w="2520"/>
            <w:shd w:fill="FFFFFF"/>
            <w:vAlign w:val="center"/>
          </w:tcPr>
          <w:p>
            <w:pPr>
              <w:jc w:val="center"/>
            </w:pPr>
            <w:r/>
            <w:r>
              <w:rPr>
                <w:b w:val="0"/>
                <w:color w:val="294A63"/>
                <w:sz w:val="17"/>
              </w:rPr>
              <w:t>Nova Conseil</w:t>
            </w:r>
          </w:p>
        </w:tc>
        <w:tc>
          <w:tcPr>
            <w:tcW w:type="dxa" w:w="2520"/>
            <w:shd w:fill="FFFFFF"/>
            <w:vAlign w:val="center"/>
          </w:tcPr>
          <w:p>
            <w:pPr>
              <w:jc w:val="center"/>
            </w:pPr>
            <w:r/>
            <w:r>
              <w:rPr>
                <w:b w:val="0"/>
                <w:color w:val="294A63"/>
                <w:sz w:val="17"/>
              </w:rPr>
              <w:t>Septembre-décembre 2026</w:t>
            </w:r>
          </w:p>
        </w:tc>
        <w:tc>
          <w:tcPr>
            <w:tcW w:type="dxa" w:w="2520"/>
            <w:shd w:fill="FFFFFF"/>
            <w:vAlign w:val="center"/>
          </w:tcPr>
          <w:p>
            <w:pPr>
              <w:jc w:val="center"/>
            </w:pPr>
            <w:r/>
            <w:r>
              <w:rPr>
                <w:b w:val="0"/>
                <w:color w:val="294A63"/>
                <w:sz w:val="17"/>
              </w:rPr>
              <w:t>Direction marketing</w:t>
            </w:r>
          </w:p>
        </w:tc>
        <w:tc>
          <w:tcPr>
            <w:tcW w:type="dxa" w:w="2520"/>
            <w:shd w:fill="FFFFFF"/>
            <w:vAlign w:val="center"/>
          </w:tcPr>
          <w:p>
            <w:pPr>
              <w:jc w:val="center"/>
            </w:pPr>
            <w:r/>
            <w:r>
              <w:rPr>
                <w:b w:val="0"/>
                <w:color w:val="294A63"/>
                <w:sz w:val="17"/>
              </w:rPr>
              <w:t>1.0</w:t>
            </w:r>
          </w:p>
        </w:tc>
      </w:tr>
    </w:tbl>
    <w:p/>
    <w:p>
      <w:pPr>
        <w:jc w:val="center"/>
      </w:pPr>
      <w:r>
        <w:rPr>
          <w:i/>
          <w:color w:val="3F83B8"/>
        </w:rPr>
        <w:t>Document prérempli - exemples, décisions et zones de personnalisation</w:t>
      </w:r>
    </w:p>
    <w:p>
      <w:r>
        <w:br w:type="page"/>
      </w:r>
    </w:p>
    <w:p>
      <w:pPr>
        <w:pStyle w:val="Heading1"/>
        <w:jc w:val="center"/>
      </w:pPr>
      <w:r>
        <w:rPr>
          <w:color w:val="3F83B8"/>
        </w:rPr>
        <w:t>1. Mandat et périmètre</w:t>
      </w:r>
    </w:p>
    <w:p>
      <w:pPr>
        <w:jc w:val="both"/>
      </w:pPr>
      <w:r>
        <w:t>L’audit couvre le site, la visibilité organique, les réseaux sociaux, la publicité, la collecte de données, le CRM et la coordination marketing-vente. La période observée s’étend de janvier à août 2026. Les constats s’appuient sur les données analytiques, cinq entretiens et l’étude de quatre concurrents directs.</w:t>
      </w:r>
    </w:p>
    <w:p>
      <w:pPr>
        <w:pStyle w:val="Heading1"/>
        <w:jc w:val="center"/>
      </w:pPr>
      <w:r>
        <w:rPr>
          <w:color w:val="3F83B8"/>
        </w:rPr>
        <w:t>2. Score de maturité</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3F83B8"/>
            <w:vAlign w:val="center"/>
          </w:tcPr>
          <w:p>
            <w:pPr>
              <w:jc w:val="center"/>
            </w:pPr>
            <w:r/>
            <w:r>
              <w:rPr>
                <w:b/>
                <w:color w:val="FFFFFF"/>
                <w:sz w:val="18"/>
              </w:rPr>
              <w:t>Axe</w:t>
            </w:r>
          </w:p>
        </w:tc>
        <w:tc>
          <w:tcPr>
            <w:tcW w:type="dxa" w:w="2016"/>
            <w:shd w:fill="3F83B8"/>
            <w:vAlign w:val="center"/>
          </w:tcPr>
          <w:p>
            <w:pPr>
              <w:jc w:val="center"/>
            </w:pPr>
            <w:r/>
            <w:r>
              <w:rPr>
                <w:b/>
                <w:color w:val="FFFFFF"/>
                <w:sz w:val="18"/>
              </w:rPr>
              <w:t>Score /5</w:t>
            </w:r>
          </w:p>
        </w:tc>
        <w:tc>
          <w:tcPr>
            <w:tcW w:type="dxa" w:w="2016"/>
            <w:shd w:fill="3F83B8"/>
            <w:vAlign w:val="center"/>
          </w:tcPr>
          <w:p>
            <w:pPr>
              <w:jc w:val="center"/>
            </w:pPr>
            <w:r/>
            <w:r>
              <w:rPr>
                <w:b/>
                <w:color w:val="FFFFFF"/>
                <w:sz w:val="18"/>
              </w:rPr>
              <w:t>Preuve</w:t>
            </w:r>
          </w:p>
        </w:tc>
        <w:tc>
          <w:tcPr>
            <w:tcW w:type="dxa" w:w="2016"/>
            <w:shd w:fill="3F83B8"/>
            <w:vAlign w:val="center"/>
          </w:tcPr>
          <w:p>
            <w:pPr>
              <w:jc w:val="center"/>
            </w:pPr>
            <w:r/>
            <w:r>
              <w:rPr>
                <w:b/>
                <w:color w:val="FFFFFF"/>
                <w:sz w:val="18"/>
              </w:rPr>
              <w:t>Risque</w:t>
            </w:r>
          </w:p>
        </w:tc>
        <w:tc>
          <w:tcPr>
            <w:tcW w:type="dxa" w:w="2016"/>
            <w:shd w:fill="3F83B8"/>
            <w:vAlign w:val="center"/>
          </w:tcPr>
          <w:p>
            <w:pPr>
              <w:jc w:val="center"/>
            </w:pPr>
            <w:r/>
            <w:r>
              <w:rPr>
                <w:b/>
                <w:color w:val="FFFFFF"/>
                <w:sz w:val="18"/>
              </w:rPr>
              <w:t>Action prioritaire</w:t>
            </w:r>
          </w:p>
        </w:tc>
      </w:tr>
      <w:tr>
        <w:tc>
          <w:tcPr>
            <w:tcW w:type="dxa" w:w="2016"/>
            <w:shd w:fill="FFFFFF"/>
            <w:vAlign w:val="center"/>
          </w:tcPr>
          <w:p>
            <w:pPr>
              <w:jc w:val="center"/>
            </w:pPr>
            <w:r/>
            <w:r>
              <w:rPr>
                <w:b w:val="0"/>
                <w:color w:val="294A63"/>
                <w:sz w:val="17"/>
              </w:rPr>
              <w:t>Stratégie</w:t>
            </w:r>
          </w:p>
        </w:tc>
        <w:tc>
          <w:tcPr>
            <w:tcW w:type="dxa" w:w="2016"/>
            <w:shd w:fill="FFFFFF"/>
            <w:vAlign w:val="center"/>
          </w:tcPr>
          <w:p>
            <w:pPr>
              <w:jc w:val="center"/>
            </w:pPr>
            <w:r/>
            <w:r>
              <w:rPr>
                <w:b w:val="0"/>
                <w:color w:val="294A63"/>
                <w:sz w:val="17"/>
              </w:rPr>
              <w:t>2.5</w:t>
            </w:r>
          </w:p>
        </w:tc>
        <w:tc>
          <w:tcPr>
            <w:tcW w:type="dxa" w:w="2016"/>
            <w:shd w:fill="FFFFFF"/>
            <w:vAlign w:val="center"/>
          </w:tcPr>
          <w:p>
            <w:pPr>
              <w:jc w:val="center"/>
            </w:pPr>
            <w:r/>
            <w:r>
              <w:rPr>
                <w:b w:val="0"/>
                <w:color w:val="294A63"/>
                <w:sz w:val="17"/>
              </w:rPr>
              <w:t>Objectifs existants, arbitrages peu formalisés</w:t>
            </w:r>
          </w:p>
        </w:tc>
        <w:tc>
          <w:tcPr>
            <w:tcW w:type="dxa" w:w="2016"/>
            <w:shd w:fill="FFFFFF"/>
            <w:vAlign w:val="center"/>
          </w:tcPr>
          <w:p>
            <w:pPr>
              <w:jc w:val="center"/>
            </w:pPr>
            <w:r/>
            <w:r>
              <w:rPr>
                <w:b w:val="0"/>
                <w:color w:val="294A63"/>
                <w:sz w:val="17"/>
              </w:rPr>
              <w:t>Moyen</w:t>
            </w:r>
          </w:p>
        </w:tc>
        <w:tc>
          <w:tcPr>
            <w:tcW w:type="dxa" w:w="2016"/>
            <w:shd w:fill="FFFFFF"/>
            <w:vAlign w:val="center"/>
          </w:tcPr>
          <w:p>
            <w:pPr>
              <w:jc w:val="center"/>
            </w:pPr>
            <w:r/>
            <w:r>
              <w:rPr>
                <w:b w:val="0"/>
                <w:color w:val="294A63"/>
                <w:sz w:val="17"/>
              </w:rPr>
              <w:t>Limiter à trois objectifs SMART</w:t>
            </w:r>
          </w:p>
        </w:tc>
      </w:tr>
      <w:tr>
        <w:tc>
          <w:tcPr>
            <w:tcW w:type="dxa" w:w="2016"/>
            <w:shd w:fill="F5F9FC"/>
            <w:vAlign w:val="center"/>
          </w:tcPr>
          <w:p>
            <w:pPr>
              <w:jc w:val="center"/>
            </w:pPr>
            <w:r/>
            <w:r>
              <w:rPr>
                <w:b w:val="0"/>
                <w:color w:val="294A63"/>
                <w:sz w:val="17"/>
              </w:rPr>
              <w:t>Expérience web</w:t>
            </w:r>
          </w:p>
        </w:tc>
        <w:tc>
          <w:tcPr>
            <w:tcW w:type="dxa" w:w="2016"/>
            <w:shd w:fill="F5F9FC"/>
            <w:vAlign w:val="center"/>
          </w:tcPr>
          <w:p>
            <w:pPr>
              <w:jc w:val="center"/>
            </w:pPr>
            <w:r/>
            <w:r>
              <w:rPr>
                <w:b w:val="0"/>
                <w:color w:val="294A63"/>
                <w:sz w:val="17"/>
              </w:rPr>
              <w:t>2.0</w:t>
            </w:r>
          </w:p>
        </w:tc>
        <w:tc>
          <w:tcPr>
            <w:tcW w:type="dxa" w:w="2016"/>
            <w:shd w:fill="F5F9FC"/>
            <w:vAlign w:val="center"/>
          </w:tcPr>
          <w:p>
            <w:pPr>
              <w:jc w:val="center"/>
            </w:pPr>
            <w:r/>
            <w:r>
              <w:rPr>
                <w:b w:val="0"/>
                <w:color w:val="294A63"/>
                <w:sz w:val="17"/>
              </w:rPr>
              <w:t>Formulaire long et parcours discontinu</w:t>
            </w:r>
          </w:p>
        </w:tc>
        <w:tc>
          <w:tcPr>
            <w:tcW w:type="dxa" w:w="2016"/>
            <w:shd w:fill="F5F9FC"/>
            <w:vAlign w:val="center"/>
          </w:tcPr>
          <w:p>
            <w:pPr>
              <w:jc w:val="center"/>
            </w:pPr>
            <w:r/>
            <w:r>
              <w:rPr>
                <w:b w:val="0"/>
                <w:color w:val="294A63"/>
                <w:sz w:val="17"/>
              </w:rPr>
              <w:t>Élevé</w:t>
            </w:r>
          </w:p>
        </w:tc>
        <w:tc>
          <w:tcPr>
            <w:tcW w:type="dxa" w:w="2016"/>
            <w:shd w:fill="F5F9FC"/>
            <w:vAlign w:val="center"/>
          </w:tcPr>
          <w:p>
            <w:pPr>
              <w:jc w:val="center"/>
            </w:pPr>
            <w:r/>
            <w:r>
              <w:rPr>
                <w:b w:val="0"/>
                <w:color w:val="294A63"/>
                <w:sz w:val="17"/>
              </w:rPr>
              <w:t>Simplifier la conversion</w:t>
            </w:r>
          </w:p>
        </w:tc>
      </w:tr>
      <w:tr>
        <w:tc>
          <w:tcPr>
            <w:tcW w:type="dxa" w:w="2016"/>
            <w:shd w:fill="FFFFFF"/>
            <w:vAlign w:val="center"/>
          </w:tcPr>
          <w:p>
            <w:pPr>
              <w:jc w:val="center"/>
            </w:pPr>
            <w:r/>
            <w:r>
              <w:rPr>
                <w:b w:val="0"/>
                <w:color w:val="294A63"/>
                <w:sz w:val="17"/>
              </w:rPr>
              <w:t>SEO</w:t>
            </w:r>
          </w:p>
        </w:tc>
        <w:tc>
          <w:tcPr>
            <w:tcW w:type="dxa" w:w="2016"/>
            <w:shd w:fill="FFFFFF"/>
            <w:vAlign w:val="center"/>
          </w:tcPr>
          <w:p>
            <w:pPr>
              <w:jc w:val="center"/>
            </w:pPr>
            <w:r/>
            <w:r>
              <w:rPr>
                <w:b w:val="0"/>
                <w:color w:val="294A63"/>
                <w:sz w:val="17"/>
              </w:rPr>
              <w:t>3.0</w:t>
            </w:r>
          </w:p>
        </w:tc>
        <w:tc>
          <w:tcPr>
            <w:tcW w:type="dxa" w:w="2016"/>
            <w:shd w:fill="FFFFFF"/>
            <w:vAlign w:val="center"/>
          </w:tcPr>
          <w:p>
            <w:pPr>
              <w:jc w:val="center"/>
            </w:pPr>
            <w:r/>
            <w:r>
              <w:rPr>
                <w:b w:val="0"/>
                <w:color w:val="294A63"/>
                <w:sz w:val="17"/>
              </w:rPr>
              <w:t>Visibilité correcte, cannibalisation</w:t>
            </w:r>
          </w:p>
        </w:tc>
        <w:tc>
          <w:tcPr>
            <w:tcW w:type="dxa" w:w="2016"/>
            <w:shd w:fill="FFFFFF"/>
            <w:vAlign w:val="center"/>
          </w:tcPr>
          <w:p>
            <w:pPr>
              <w:jc w:val="center"/>
            </w:pPr>
            <w:r/>
            <w:r>
              <w:rPr>
                <w:b w:val="0"/>
                <w:color w:val="294A63"/>
                <w:sz w:val="17"/>
              </w:rPr>
              <w:t>Moyen</w:t>
            </w:r>
          </w:p>
        </w:tc>
        <w:tc>
          <w:tcPr>
            <w:tcW w:type="dxa" w:w="2016"/>
            <w:shd w:fill="FFFFFF"/>
            <w:vAlign w:val="center"/>
          </w:tcPr>
          <w:p>
            <w:pPr>
              <w:jc w:val="center"/>
            </w:pPr>
            <w:r/>
            <w:r>
              <w:rPr>
                <w:b w:val="0"/>
                <w:color w:val="294A63"/>
                <w:sz w:val="17"/>
              </w:rPr>
              <w:t>Revoir architecture et intentions</w:t>
            </w:r>
          </w:p>
        </w:tc>
      </w:tr>
      <w:tr>
        <w:tc>
          <w:tcPr>
            <w:tcW w:type="dxa" w:w="2016"/>
            <w:shd w:fill="F5F9FC"/>
            <w:vAlign w:val="center"/>
          </w:tcPr>
          <w:p>
            <w:pPr>
              <w:jc w:val="center"/>
            </w:pPr>
            <w:r/>
            <w:r>
              <w:rPr>
                <w:b w:val="0"/>
                <w:color w:val="294A63"/>
                <w:sz w:val="17"/>
              </w:rPr>
              <w:t>Contenus</w:t>
            </w:r>
          </w:p>
        </w:tc>
        <w:tc>
          <w:tcPr>
            <w:tcW w:type="dxa" w:w="2016"/>
            <w:shd w:fill="F5F9FC"/>
            <w:vAlign w:val="center"/>
          </w:tcPr>
          <w:p>
            <w:pPr>
              <w:jc w:val="center"/>
            </w:pPr>
            <w:r/>
            <w:r>
              <w:rPr>
                <w:b w:val="0"/>
                <w:color w:val="294A63"/>
                <w:sz w:val="17"/>
              </w:rPr>
              <w:t>2.5</w:t>
            </w:r>
          </w:p>
        </w:tc>
        <w:tc>
          <w:tcPr>
            <w:tcW w:type="dxa" w:w="2016"/>
            <w:shd w:fill="F5F9FC"/>
            <w:vAlign w:val="center"/>
          </w:tcPr>
          <w:p>
            <w:pPr>
              <w:jc w:val="center"/>
            </w:pPr>
            <w:r/>
            <w:r>
              <w:rPr>
                <w:b w:val="0"/>
                <w:color w:val="294A63"/>
                <w:sz w:val="17"/>
              </w:rPr>
              <w:t>Expertise forte, preuves rares</w:t>
            </w:r>
          </w:p>
        </w:tc>
        <w:tc>
          <w:tcPr>
            <w:tcW w:type="dxa" w:w="2016"/>
            <w:shd w:fill="F5F9FC"/>
            <w:vAlign w:val="center"/>
          </w:tcPr>
          <w:p>
            <w:pPr>
              <w:jc w:val="center"/>
            </w:pPr>
            <w:r/>
            <w:r>
              <w:rPr>
                <w:b w:val="0"/>
                <w:color w:val="294A63"/>
                <w:sz w:val="17"/>
              </w:rPr>
              <w:t>Élevé</w:t>
            </w:r>
          </w:p>
        </w:tc>
        <w:tc>
          <w:tcPr>
            <w:tcW w:type="dxa" w:w="2016"/>
            <w:shd w:fill="F5F9FC"/>
            <w:vAlign w:val="center"/>
          </w:tcPr>
          <w:p>
            <w:pPr>
              <w:jc w:val="center"/>
            </w:pPr>
            <w:r/>
            <w:r>
              <w:rPr>
                <w:b w:val="0"/>
                <w:color w:val="294A63"/>
                <w:sz w:val="17"/>
              </w:rPr>
              <w:t>Produire trois cas complets</w:t>
            </w:r>
          </w:p>
        </w:tc>
      </w:tr>
      <w:tr>
        <w:tc>
          <w:tcPr>
            <w:tcW w:type="dxa" w:w="2016"/>
            <w:shd w:fill="FFFFFF"/>
            <w:vAlign w:val="center"/>
          </w:tcPr>
          <w:p>
            <w:pPr>
              <w:jc w:val="center"/>
            </w:pPr>
            <w:r/>
            <w:r>
              <w:rPr>
                <w:b w:val="0"/>
                <w:color w:val="294A63"/>
                <w:sz w:val="17"/>
              </w:rPr>
              <w:t>CRM</w:t>
            </w:r>
          </w:p>
        </w:tc>
        <w:tc>
          <w:tcPr>
            <w:tcW w:type="dxa" w:w="2016"/>
            <w:shd w:fill="FFFFFF"/>
            <w:vAlign w:val="center"/>
          </w:tcPr>
          <w:p>
            <w:pPr>
              <w:jc w:val="center"/>
            </w:pPr>
            <w:r/>
            <w:r>
              <w:rPr>
                <w:b w:val="0"/>
                <w:color w:val="294A63"/>
                <w:sz w:val="17"/>
              </w:rPr>
              <w:t>2.0</w:t>
            </w:r>
          </w:p>
        </w:tc>
        <w:tc>
          <w:tcPr>
            <w:tcW w:type="dxa" w:w="2016"/>
            <w:shd w:fill="FFFFFF"/>
            <w:vAlign w:val="center"/>
          </w:tcPr>
          <w:p>
            <w:pPr>
              <w:jc w:val="center"/>
            </w:pPr>
            <w:r/>
            <w:r>
              <w:rPr>
                <w:b w:val="0"/>
                <w:color w:val="294A63"/>
                <w:sz w:val="17"/>
              </w:rPr>
              <w:t>Base non segmentée</w:t>
            </w:r>
          </w:p>
        </w:tc>
        <w:tc>
          <w:tcPr>
            <w:tcW w:type="dxa" w:w="2016"/>
            <w:shd w:fill="FFFFFF"/>
            <w:vAlign w:val="center"/>
          </w:tcPr>
          <w:p>
            <w:pPr>
              <w:jc w:val="center"/>
            </w:pPr>
            <w:r/>
            <w:r>
              <w:rPr>
                <w:b w:val="0"/>
                <w:color w:val="294A63"/>
                <w:sz w:val="17"/>
              </w:rPr>
              <w:t>Élevé</w:t>
            </w:r>
          </w:p>
        </w:tc>
        <w:tc>
          <w:tcPr>
            <w:tcW w:type="dxa" w:w="2016"/>
            <w:shd w:fill="FFFFFF"/>
            <w:vAlign w:val="center"/>
          </w:tcPr>
          <w:p>
            <w:pPr>
              <w:jc w:val="center"/>
            </w:pPr>
            <w:r/>
            <w:r>
              <w:rPr>
                <w:b w:val="0"/>
                <w:color w:val="294A63"/>
                <w:sz w:val="17"/>
              </w:rPr>
              <w:t>Créer segments et scénarios</w:t>
            </w:r>
          </w:p>
        </w:tc>
      </w:tr>
      <w:tr>
        <w:tc>
          <w:tcPr>
            <w:tcW w:type="dxa" w:w="2016"/>
            <w:shd w:fill="F5F9FC"/>
            <w:vAlign w:val="center"/>
          </w:tcPr>
          <w:p>
            <w:pPr>
              <w:jc w:val="center"/>
            </w:pPr>
            <w:r/>
            <w:r>
              <w:rPr>
                <w:b w:val="0"/>
                <w:color w:val="294A63"/>
                <w:sz w:val="17"/>
              </w:rPr>
              <w:t>Données</w:t>
            </w:r>
          </w:p>
        </w:tc>
        <w:tc>
          <w:tcPr>
            <w:tcW w:type="dxa" w:w="2016"/>
            <w:shd w:fill="F5F9FC"/>
            <w:vAlign w:val="center"/>
          </w:tcPr>
          <w:p>
            <w:pPr>
              <w:jc w:val="center"/>
            </w:pPr>
            <w:r/>
            <w:r>
              <w:rPr>
                <w:b w:val="0"/>
                <w:color w:val="294A63"/>
                <w:sz w:val="17"/>
              </w:rPr>
              <w:t>2.0</w:t>
            </w:r>
          </w:p>
        </w:tc>
        <w:tc>
          <w:tcPr>
            <w:tcW w:type="dxa" w:w="2016"/>
            <w:shd w:fill="F5F9FC"/>
            <w:vAlign w:val="center"/>
          </w:tcPr>
          <w:p>
            <w:pPr>
              <w:jc w:val="center"/>
            </w:pPr>
            <w:r/>
            <w:r>
              <w:rPr>
                <w:b w:val="0"/>
                <w:color w:val="294A63"/>
                <w:sz w:val="17"/>
              </w:rPr>
              <w:t>Trafic suivi, ventes non reliées</w:t>
            </w:r>
          </w:p>
        </w:tc>
        <w:tc>
          <w:tcPr>
            <w:tcW w:type="dxa" w:w="2016"/>
            <w:shd w:fill="F5F9FC"/>
            <w:vAlign w:val="center"/>
          </w:tcPr>
          <w:p>
            <w:pPr>
              <w:jc w:val="center"/>
            </w:pPr>
            <w:r/>
            <w:r>
              <w:rPr>
                <w:b w:val="0"/>
                <w:color w:val="294A63"/>
                <w:sz w:val="17"/>
              </w:rPr>
              <w:t>Critique</w:t>
            </w:r>
          </w:p>
        </w:tc>
        <w:tc>
          <w:tcPr>
            <w:tcW w:type="dxa" w:w="2016"/>
            <w:shd w:fill="F5F9FC"/>
            <w:vAlign w:val="center"/>
          </w:tcPr>
          <w:p>
            <w:pPr>
              <w:jc w:val="center"/>
            </w:pPr>
            <w:r/>
            <w:r>
              <w:rPr>
                <w:b w:val="0"/>
                <w:color w:val="294A63"/>
                <w:sz w:val="17"/>
              </w:rPr>
              <w:t>Unifier sources et définitions</w:t>
            </w:r>
          </w:p>
        </w:tc>
      </w:tr>
    </w:tbl>
    <w:p/>
    <w:p>
      <w:pPr>
        <w:pStyle w:val="Heading1"/>
        <w:jc w:val="center"/>
      </w:pPr>
      <w:r>
        <w:rPr>
          <w:color w:val="3F83B8"/>
        </w:rPr>
        <w:t>3. SWOT digitale renseignée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3F83B8"/>
            <w:vAlign w:val="center"/>
          </w:tcPr>
          <w:p>
            <w:pPr>
              <w:jc w:val="center"/>
            </w:pPr>
            <w:r/>
            <w:r>
              <w:rPr>
                <w:b/>
                <w:color w:val="FFFFFF"/>
                <w:sz w:val="18"/>
              </w:rPr>
              <w:t>Forces</w:t>
            </w:r>
          </w:p>
        </w:tc>
        <w:tc>
          <w:tcPr>
            <w:tcW w:type="dxa" w:w="2520"/>
            <w:shd w:fill="3F83B8"/>
            <w:vAlign w:val="center"/>
          </w:tcPr>
          <w:p>
            <w:pPr>
              <w:jc w:val="center"/>
            </w:pPr>
            <w:r/>
            <w:r>
              <w:rPr>
                <w:b/>
                <w:color w:val="FFFFFF"/>
                <w:sz w:val="18"/>
              </w:rPr>
              <w:t>Faiblesses</w:t>
            </w:r>
          </w:p>
        </w:tc>
        <w:tc>
          <w:tcPr>
            <w:tcW w:type="dxa" w:w="2520"/>
            <w:shd w:fill="3F83B8"/>
            <w:vAlign w:val="center"/>
          </w:tcPr>
          <w:p>
            <w:pPr>
              <w:jc w:val="center"/>
            </w:pPr>
            <w:r/>
            <w:r>
              <w:rPr>
                <w:b/>
                <w:color w:val="FFFFFF"/>
                <w:sz w:val="18"/>
              </w:rPr>
              <w:t>Opportunités</w:t>
            </w:r>
          </w:p>
        </w:tc>
        <w:tc>
          <w:tcPr>
            <w:tcW w:type="dxa" w:w="2520"/>
            <w:shd w:fill="3F83B8"/>
            <w:vAlign w:val="center"/>
          </w:tcPr>
          <w:p>
            <w:pPr>
              <w:jc w:val="center"/>
            </w:pPr>
            <w:r/>
            <w:r>
              <w:rPr>
                <w:b/>
                <w:color w:val="FFFFFF"/>
                <w:sz w:val="18"/>
              </w:rPr>
              <w:t>Menaces</w:t>
            </w:r>
          </w:p>
        </w:tc>
      </w:tr>
      <w:tr>
        <w:tc>
          <w:tcPr>
            <w:tcW w:type="dxa" w:w="2520"/>
            <w:shd w:fill="FFFFFF"/>
            <w:vAlign w:val="center"/>
          </w:tcPr>
          <w:p>
            <w:pPr>
              <w:jc w:val="center"/>
            </w:pPr>
            <w:r/>
            <w:r>
              <w:rPr>
                <w:b w:val="0"/>
                <w:color w:val="294A63"/>
                <w:sz w:val="17"/>
              </w:rPr>
              <w:t>Expertise sectorielle reconnue; base clients active</w:t>
            </w:r>
          </w:p>
        </w:tc>
        <w:tc>
          <w:tcPr>
            <w:tcW w:type="dxa" w:w="2520"/>
            <w:shd w:fill="FFFFFF"/>
            <w:vAlign w:val="center"/>
          </w:tcPr>
          <w:p>
            <w:pPr>
              <w:jc w:val="center"/>
            </w:pPr>
            <w:r/>
            <w:r>
              <w:rPr>
                <w:b w:val="0"/>
                <w:color w:val="294A63"/>
                <w:sz w:val="17"/>
              </w:rPr>
              <w:t>Promesse générique; suivi commercial fragmenté</w:t>
            </w:r>
          </w:p>
        </w:tc>
        <w:tc>
          <w:tcPr>
            <w:tcW w:type="dxa" w:w="2520"/>
            <w:shd w:fill="FFFFFF"/>
            <w:vAlign w:val="center"/>
          </w:tcPr>
          <w:p>
            <w:pPr>
              <w:jc w:val="center"/>
            </w:pPr>
            <w:r/>
            <w:r>
              <w:rPr>
                <w:b w:val="0"/>
                <w:color w:val="294A63"/>
                <w:sz w:val="17"/>
              </w:rPr>
              <w:t>Requêtes métiers peu couvertes; demande de preuves</w:t>
            </w:r>
          </w:p>
        </w:tc>
        <w:tc>
          <w:tcPr>
            <w:tcW w:type="dxa" w:w="2520"/>
            <w:shd w:fill="FFFFFF"/>
            <w:vAlign w:val="center"/>
          </w:tcPr>
          <w:p>
            <w:pPr>
              <w:jc w:val="center"/>
            </w:pPr>
            <w:r/>
            <w:r>
              <w:rPr>
                <w:b w:val="0"/>
                <w:color w:val="294A63"/>
                <w:sz w:val="17"/>
              </w:rPr>
              <w:t>Concurrents plus visibles; hausse des coûts Ads</w:t>
            </w:r>
          </w:p>
        </w:tc>
      </w:tr>
    </w:tbl>
    <w:p/>
    <w:p>
      <w:pPr>
        <w:pStyle w:val="Heading1"/>
        <w:jc w:val="center"/>
      </w:pPr>
      <w:r>
        <w:rPr>
          <w:color w:val="3F83B8"/>
        </w:rPr>
        <w:t>4. Parcours et points de friction</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3F83B8"/>
            <w:vAlign w:val="center"/>
          </w:tcPr>
          <w:p>
            <w:pPr>
              <w:jc w:val="center"/>
            </w:pPr>
            <w:r/>
            <w:r>
              <w:rPr>
                <w:b/>
                <w:color w:val="FFFFFF"/>
                <w:sz w:val="18"/>
              </w:rPr>
              <w:t>Moment</w:t>
            </w:r>
          </w:p>
        </w:tc>
        <w:tc>
          <w:tcPr>
            <w:tcW w:type="dxa" w:w="2016"/>
            <w:shd w:fill="3F83B8"/>
            <w:vAlign w:val="center"/>
          </w:tcPr>
          <w:p>
            <w:pPr>
              <w:jc w:val="center"/>
            </w:pPr>
            <w:r/>
            <w:r>
              <w:rPr>
                <w:b/>
                <w:color w:val="FFFFFF"/>
                <w:sz w:val="18"/>
              </w:rPr>
              <w:t>Comportement observé</w:t>
            </w:r>
          </w:p>
        </w:tc>
        <w:tc>
          <w:tcPr>
            <w:tcW w:type="dxa" w:w="2016"/>
            <w:shd w:fill="3F83B8"/>
            <w:vAlign w:val="center"/>
          </w:tcPr>
          <w:p>
            <w:pPr>
              <w:jc w:val="center"/>
            </w:pPr>
            <w:r/>
            <w:r>
              <w:rPr>
                <w:b/>
                <w:color w:val="FFFFFF"/>
                <w:sz w:val="18"/>
              </w:rPr>
              <w:t>Friction</w:t>
            </w:r>
          </w:p>
        </w:tc>
        <w:tc>
          <w:tcPr>
            <w:tcW w:type="dxa" w:w="2016"/>
            <w:shd w:fill="3F83B8"/>
            <w:vAlign w:val="center"/>
          </w:tcPr>
          <w:p>
            <w:pPr>
              <w:jc w:val="center"/>
            </w:pPr>
            <w:r/>
            <w:r>
              <w:rPr>
                <w:b/>
                <w:color w:val="FFFFFF"/>
                <w:sz w:val="18"/>
              </w:rPr>
              <w:t>Impact</w:t>
            </w:r>
          </w:p>
        </w:tc>
        <w:tc>
          <w:tcPr>
            <w:tcW w:type="dxa" w:w="2016"/>
            <w:shd w:fill="3F83B8"/>
            <w:vAlign w:val="center"/>
          </w:tcPr>
          <w:p>
            <w:pPr>
              <w:jc w:val="center"/>
            </w:pPr>
            <w:r/>
            <w:r>
              <w:rPr>
                <w:b/>
                <w:color w:val="FFFFFF"/>
                <w:sz w:val="18"/>
              </w:rPr>
              <w:t>Correction</w:t>
            </w:r>
          </w:p>
        </w:tc>
      </w:tr>
      <w:tr>
        <w:tc>
          <w:tcPr>
            <w:tcW w:type="dxa" w:w="2016"/>
            <w:shd w:fill="FFFFFF"/>
            <w:vAlign w:val="center"/>
          </w:tcPr>
          <w:p>
            <w:pPr>
              <w:jc w:val="center"/>
            </w:pPr>
            <w:r/>
            <w:r>
              <w:rPr>
                <w:b w:val="0"/>
                <w:color w:val="294A63"/>
                <w:sz w:val="17"/>
              </w:rPr>
              <w:t>Arrivée SEO</w:t>
            </w:r>
          </w:p>
        </w:tc>
        <w:tc>
          <w:tcPr>
            <w:tcW w:type="dxa" w:w="2016"/>
            <w:shd w:fill="FFFFFF"/>
            <w:vAlign w:val="center"/>
          </w:tcPr>
          <w:p>
            <w:pPr>
              <w:jc w:val="center"/>
            </w:pPr>
            <w:r/>
            <w:r>
              <w:rPr>
                <w:b w:val="0"/>
                <w:color w:val="294A63"/>
                <w:sz w:val="17"/>
              </w:rPr>
              <w:t>Lecture d’un guide</w:t>
            </w:r>
          </w:p>
        </w:tc>
        <w:tc>
          <w:tcPr>
            <w:tcW w:type="dxa" w:w="2016"/>
            <w:shd w:fill="FFFFFF"/>
            <w:vAlign w:val="center"/>
          </w:tcPr>
          <w:p>
            <w:pPr>
              <w:jc w:val="center"/>
            </w:pPr>
            <w:r/>
            <w:r>
              <w:rPr>
                <w:b w:val="0"/>
                <w:color w:val="294A63"/>
                <w:sz w:val="17"/>
              </w:rPr>
              <w:t>CTA peu contextualisé</w:t>
            </w:r>
          </w:p>
        </w:tc>
        <w:tc>
          <w:tcPr>
            <w:tcW w:type="dxa" w:w="2016"/>
            <w:shd w:fill="FFFFFF"/>
            <w:vAlign w:val="center"/>
          </w:tcPr>
          <w:p>
            <w:pPr>
              <w:jc w:val="center"/>
            </w:pPr>
            <w:r/>
            <w:r>
              <w:rPr>
                <w:b w:val="0"/>
                <w:color w:val="294A63"/>
                <w:sz w:val="17"/>
              </w:rPr>
              <w:t>Sortie sans contact</w:t>
            </w:r>
          </w:p>
        </w:tc>
        <w:tc>
          <w:tcPr>
            <w:tcW w:type="dxa" w:w="2016"/>
            <w:shd w:fill="FFFFFF"/>
            <w:vAlign w:val="center"/>
          </w:tcPr>
          <w:p>
            <w:pPr>
              <w:jc w:val="center"/>
            </w:pPr>
            <w:r/>
            <w:r>
              <w:rPr>
                <w:b w:val="0"/>
                <w:color w:val="294A63"/>
                <w:sz w:val="17"/>
              </w:rPr>
              <w:t>CTA lié au sujet</w:t>
            </w:r>
          </w:p>
        </w:tc>
      </w:tr>
      <w:tr>
        <w:tc>
          <w:tcPr>
            <w:tcW w:type="dxa" w:w="2016"/>
            <w:shd w:fill="F5F9FC"/>
            <w:vAlign w:val="center"/>
          </w:tcPr>
          <w:p>
            <w:pPr>
              <w:jc w:val="center"/>
            </w:pPr>
            <w:r/>
            <w:r>
              <w:rPr>
                <w:b w:val="0"/>
                <w:color w:val="294A63"/>
                <w:sz w:val="17"/>
              </w:rPr>
              <w:t>Page offre</w:t>
            </w:r>
          </w:p>
        </w:tc>
        <w:tc>
          <w:tcPr>
            <w:tcW w:type="dxa" w:w="2016"/>
            <w:shd w:fill="F5F9FC"/>
            <w:vAlign w:val="center"/>
          </w:tcPr>
          <w:p>
            <w:pPr>
              <w:jc w:val="center"/>
            </w:pPr>
            <w:r/>
            <w:r>
              <w:rPr>
                <w:b w:val="0"/>
                <w:color w:val="294A63"/>
                <w:sz w:val="17"/>
              </w:rPr>
              <w:t>Comparaison des prestations</w:t>
            </w:r>
          </w:p>
        </w:tc>
        <w:tc>
          <w:tcPr>
            <w:tcW w:type="dxa" w:w="2016"/>
            <w:shd w:fill="F5F9FC"/>
            <w:vAlign w:val="center"/>
          </w:tcPr>
          <w:p>
            <w:pPr>
              <w:jc w:val="center"/>
            </w:pPr>
            <w:r/>
            <w:r>
              <w:rPr>
                <w:b w:val="0"/>
                <w:color w:val="294A63"/>
                <w:sz w:val="17"/>
              </w:rPr>
              <w:t>Preuves dispersées</w:t>
            </w:r>
          </w:p>
        </w:tc>
        <w:tc>
          <w:tcPr>
            <w:tcW w:type="dxa" w:w="2016"/>
            <w:shd w:fill="F5F9FC"/>
            <w:vAlign w:val="center"/>
          </w:tcPr>
          <w:p>
            <w:pPr>
              <w:jc w:val="center"/>
            </w:pPr>
            <w:r/>
            <w:r>
              <w:rPr>
                <w:b w:val="0"/>
                <w:color w:val="294A63"/>
                <w:sz w:val="17"/>
              </w:rPr>
              <w:t>Doute</w:t>
            </w:r>
          </w:p>
        </w:tc>
        <w:tc>
          <w:tcPr>
            <w:tcW w:type="dxa" w:w="2016"/>
            <w:shd w:fill="F5F9FC"/>
            <w:vAlign w:val="center"/>
          </w:tcPr>
          <w:p>
            <w:pPr>
              <w:jc w:val="center"/>
            </w:pPr>
            <w:r/>
            <w:r>
              <w:rPr>
                <w:b w:val="0"/>
                <w:color w:val="294A63"/>
                <w:sz w:val="17"/>
              </w:rPr>
              <w:t>Cas client intégré</w:t>
            </w:r>
          </w:p>
        </w:tc>
      </w:tr>
      <w:tr>
        <w:tc>
          <w:tcPr>
            <w:tcW w:type="dxa" w:w="2016"/>
            <w:shd w:fill="FFFFFF"/>
            <w:vAlign w:val="center"/>
          </w:tcPr>
          <w:p>
            <w:pPr>
              <w:jc w:val="center"/>
            </w:pPr>
            <w:r/>
            <w:r>
              <w:rPr>
                <w:b w:val="0"/>
                <w:color w:val="294A63"/>
                <w:sz w:val="17"/>
              </w:rPr>
              <w:t>Formulaire</w:t>
            </w:r>
          </w:p>
        </w:tc>
        <w:tc>
          <w:tcPr>
            <w:tcW w:type="dxa" w:w="2016"/>
            <w:shd w:fill="FFFFFF"/>
            <w:vAlign w:val="center"/>
          </w:tcPr>
          <w:p>
            <w:pPr>
              <w:jc w:val="center"/>
            </w:pPr>
            <w:r/>
            <w:r>
              <w:rPr>
                <w:b w:val="0"/>
                <w:color w:val="294A63"/>
                <w:sz w:val="17"/>
              </w:rPr>
              <w:t>Demande de devis</w:t>
            </w:r>
          </w:p>
        </w:tc>
        <w:tc>
          <w:tcPr>
            <w:tcW w:type="dxa" w:w="2016"/>
            <w:shd w:fill="FFFFFF"/>
            <w:vAlign w:val="center"/>
          </w:tcPr>
          <w:p>
            <w:pPr>
              <w:jc w:val="center"/>
            </w:pPr>
            <w:r/>
            <w:r>
              <w:rPr>
                <w:b w:val="0"/>
                <w:color w:val="294A63"/>
                <w:sz w:val="17"/>
              </w:rPr>
              <w:t>11 champs obligatoires</w:t>
            </w:r>
          </w:p>
        </w:tc>
        <w:tc>
          <w:tcPr>
            <w:tcW w:type="dxa" w:w="2016"/>
            <w:shd w:fill="FFFFFF"/>
            <w:vAlign w:val="center"/>
          </w:tcPr>
          <w:p>
            <w:pPr>
              <w:jc w:val="center"/>
            </w:pPr>
            <w:r/>
            <w:r>
              <w:rPr>
                <w:b w:val="0"/>
                <w:color w:val="294A63"/>
                <w:sz w:val="17"/>
              </w:rPr>
              <w:t>Abandon</w:t>
            </w:r>
          </w:p>
        </w:tc>
        <w:tc>
          <w:tcPr>
            <w:tcW w:type="dxa" w:w="2016"/>
            <w:shd w:fill="FFFFFF"/>
            <w:vAlign w:val="center"/>
          </w:tcPr>
          <w:p>
            <w:pPr>
              <w:jc w:val="center"/>
            </w:pPr>
            <w:r/>
            <w:r>
              <w:rPr>
                <w:b w:val="0"/>
                <w:color w:val="294A63"/>
                <w:sz w:val="17"/>
              </w:rPr>
              <w:t>5 champs + qualification ultérieure</w:t>
            </w:r>
          </w:p>
        </w:tc>
      </w:tr>
      <w:tr>
        <w:tc>
          <w:tcPr>
            <w:tcW w:type="dxa" w:w="2016"/>
            <w:shd w:fill="F5F9FC"/>
            <w:vAlign w:val="center"/>
          </w:tcPr>
          <w:p>
            <w:pPr>
              <w:jc w:val="center"/>
            </w:pPr>
            <w:r/>
            <w:r>
              <w:rPr>
                <w:b w:val="0"/>
                <w:color w:val="294A63"/>
                <w:sz w:val="17"/>
              </w:rPr>
              <w:t>Après contact</w:t>
            </w:r>
          </w:p>
        </w:tc>
        <w:tc>
          <w:tcPr>
            <w:tcW w:type="dxa" w:w="2016"/>
            <w:shd w:fill="F5F9FC"/>
            <w:vAlign w:val="center"/>
          </w:tcPr>
          <w:p>
            <w:pPr>
              <w:jc w:val="center"/>
            </w:pPr>
            <w:r/>
            <w:r>
              <w:rPr>
                <w:b w:val="0"/>
                <w:color w:val="294A63"/>
                <w:sz w:val="17"/>
              </w:rPr>
              <w:t>Attente de réponse</w:t>
            </w:r>
          </w:p>
        </w:tc>
        <w:tc>
          <w:tcPr>
            <w:tcW w:type="dxa" w:w="2016"/>
            <w:shd w:fill="F5F9FC"/>
            <w:vAlign w:val="center"/>
          </w:tcPr>
          <w:p>
            <w:pPr>
              <w:jc w:val="center"/>
            </w:pPr>
            <w:r/>
            <w:r>
              <w:rPr>
                <w:b w:val="0"/>
                <w:color w:val="294A63"/>
                <w:sz w:val="17"/>
              </w:rPr>
              <w:t>Attribution manuelle</w:t>
            </w:r>
          </w:p>
        </w:tc>
        <w:tc>
          <w:tcPr>
            <w:tcW w:type="dxa" w:w="2016"/>
            <w:shd w:fill="F5F9FC"/>
            <w:vAlign w:val="center"/>
          </w:tcPr>
          <w:p>
            <w:pPr>
              <w:jc w:val="center"/>
            </w:pPr>
            <w:r/>
            <w:r>
              <w:rPr>
                <w:b w:val="0"/>
                <w:color w:val="294A63"/>
                <w:sz w:val="17"/>
              </w:rPr>
              <w:t>Délai</w:t>
            </w:r>
          </w:p>
        </w:tc>
        <w:tc>
          <w:tcPr>
            <w:tcW w:type="dxa" w:w="2016"/>
            <w:shd w:fill="F5F9FC"/>
            <w:vAlign w:val="center"/>
          </w:tcPr>
          <w:p>
            <w:pPr>
              <w:jc w:val="center"/>
            </w:pPr>
            <w:r/>
            <w:r>
              <w:rPr>
                <w:b w:val="0"/>
                <w:color w:val="294A63"/>
                <w:sz w:val="17"/>
              </w:rPr>
              <w:t>Routage CRM automatique</w:t>
            </w:r>
          </w:p>
        </w:tc>
      </w:tr>
    </w:tbl>
    <w:p/>
    <w:p>
      <w:pPr>
        <w:pStyle w:val="Heading1"/>
        <w:jc w:val="center"/>
      </w:pPr>
      <w:r>
        <w:rPr>
          <w:color w:val="3F83B8"/>
        </w:rPr>
        <w:t>5. Quick wins sur 30 jours</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3F83B8"/>
            <w:vAlign w:val="center"/>
          </w:tcPr>
          <w:p>
            <w:pPr>
              <w:jc w:val="center"/>
            </w:pPr>
            <w:r/>
            <w:r>
              <w:rPr>
                <w:b/>
                <w:color w:val="FFFFFF"/>
                <w:sz w:val="18"/>
              </w:rPr>
              <w:t>Action</w:t>
            </w:r>
          </w:p>
        </w:tc>
        <w:tc>
          <w:tcPr>
            <w:tcW w:type="dxa" w:w="2016"/>
            <w:shd w:fill="3F83B8"/>
            <w:vAlign w:val="center"/>
          </w:tcPr>
          <w:p>
            <w:pPr>
              <w:jc w:val="center"/>
            </w:pPr>
            <w:r/>
            <w:r>
              <w:rPr>
                <w:b/>
                <w:color w:val="FFFFFF"/>
                <w:sz w:val="18"/>
              </w:rPr>
              <w:t>Effort</w:t>
            </w:r>
          </w:p>
        </w:tc>
        <w:tc>
          <w:tcPr>
            <w:tcW w:type="dxa" w:w="2016"/>
            <w:shd w:fill="3F83B8"/>
            <w:vAlign w:val="center"/>
          </w:tcPr>
          <w:p>
            <w:pPr>
              <w:jc w:val="center"/>
            </w:pPr>
            <w:r/>
            <w:r>
              <w:rPr>
                <w:b/>
                <w:color w:val="FFFFFF"/>
                <w:sz w:val="18"/>
              </w:rPr>
              <w:t>Impact</w:t>
            </w:r>
          </w:p>
        </w:tc>
        <w:tc>
          <w:tcPr>
            <w:tcW w:type="dxa" w:w="2016"/>
            <w:shd w:fill="3F83B8"/>
            <w:vAlign w:val="center"/>
          </w:tcPr>
          <w:p>
            <w:pPr>
              <w:jc w:val="center"/>
            </w:pPr>
            <w:r/>
            <w:r>
              <w:rPr>
                <w:b/>
                <w:color w:val="FFFFFF"/>
                <w:sz w:val="18"/>
              </w:rPr>
              <w:t>Responsable</w:t>
            </w:r>
          </w:p>
        </w:tc>
        <w:tc>
          <w:tcPr>
            <w:tcW w:type="dxa" w:w="2016"/>
            <w:shd w:fill="3F83B8"/>
            <w:vAlign w:val="center"/>
          </w:tcPr>
          <w:p>
            <w:pPr>
              <w:jc w:val="center"/>
            </w:pPr>
            <w:r/>
            <w:r>
              <w:rPr>
                <w:b/>
                <w:color w:val="FFFFFF"/>
                <w:sz w:val="18"/>
              </w:rPr>
              <w:t>Échéance</w:t>
            </w:r>
          </w:p>
        </w:tc>
      </w:tr>
      <w:tr>
        <w:tc>
          <w:tcPr>
            <w:tcW w:type="dxa" w:w="2016"/>
            <w:shd w:fill="FFFFFF"/>
            <w:vAlign w:val="center"/>
          </w:tcPr>
          <w:p>
            <w:pPr>
              <w:jc w:val="center"/>
            </w:pPr>
            <w:r/>
            <w:r>
              <w:rPr>
                <w:b w:val="0"/>
                <w:color w:val="294A63"/>
                <w:sz w:val="17"/>
              </w:rPr>
              <w:t>Réécrire la promesse du H1</w:t>
            </w:r>
          </w:p>
        </w:tc>
        <w:tc>
          <w:tcPr>
            <w:tcW w:type="dxa" w:w="2016"/>
            <w:shd w:fill="FFFFFF"/>
            <w:vAlign w:val="center"/>
          </w:tcPr>
          <w:p>
            <w:pPr>
              <w:jc w:val="center"/>
            </w:pPr>
            <w:r/>
            <w:r>
              <w:rPr>
                <w:b w:val="0"/>
                <w:color w:val="294A63"/>
                <w:sz w:val="17"/>
              </w:rPr>
              <w:t>Faible</w:t>
            </w:r>
          </w:p>
        </w:tc>
        <w:tc>
          <w:tcPr>
            <w:tcW w:type="dxa" w:w="2016"/>
            <w:shd w:fill="FFFFFF"/>
            <w:vAlign w:val="center"/>
          </w:tcPr>
          <w:p>
            <w:pPr>
              <w:jc w:val="center"/>
            </w:pPr>
            <w:r/>
            <w:r>
              <w:rPr>
                <w:b w:val="0"/>
                <w:color w:val="294A63"/>
                <w:sz w:val="17"/>
              </w:rPr>
              <w:t>Élevé</w:t>
            </w:r>
          </w:p>
        </w:tc>
        <w:tc>
          <w:tcPr>
            <w:tcW w:type="dxa" w:w="2016"/>
            <w:shd w:fill="FFFFFF"/>
            <w:vAlign w:val="center"/>
          </w:tcPr>
          <w:p>
            <w:pPr>
              <w:jc w:val="center"/>
            </w:pPr>
            <w:r/>
            <w:r>
              <w:rPr>
                <w:b w:val="0"/>
                <w:color w:val="294A63"/>
                <w:sz w:val="17"/>
              </w:rPr>
              <w:t>Direction</w:t>
            </w:r>
          </w:p>
        </w:tc>
        <w:tc>
          <w:tcPr>
            <w:tcW w:type="dxa" w:w="2016"/>
            <w:shd w:fill="FFFFFF"/>
            <w:vAlign w:val="center"/>
          </w:tcPr>
          <w:p>
            <w:pPr>
              <w:jc w:val="center"/>
            </w:pPr>
            <w:r/>
            <w:r>
              <w:rPr>
                <w:b w:val="0"/>
                <w:color w:val="294A63"/>
                <w:sz w:val="17"/>
              </w:rPr>
              <w:t>S1</w:t>
            </w:r>
          </w:p>
        </w:tc>
      </w:tr>
      <w:tr>
        <w:tc>
          <w:tcPr>
            <w:tcW w:type="dxa" w:w="2016"/>
            <w:shd w:fill="F5F9FC"/>
            <w:vAlign w:val="center"/>
          </w:tcPr>
          <w:p>
            <w:pPr>
              <w:jc w:val="center"/>
            </w:pPr>
            <w:r/>
            <w:r>
              <w:rPr>
                <w:b w:val="0"/>
                <w:color w:val="294A63"/>
                <w:sz w:val="17"/>
              </w:rPr>
              <w:t>Réduire le formulaire</w:t>
            </w:r>
          </w:p>
        </w:tc>
        <w:tc>
          <w:tcPr>
            <w:tcW w:type="dxa" w:w="2016"/>
            <w:shd w:fill="F5F9FC"/>
            <w:vAlign w:val="center"/>
          </w:tcPr>
          <w:p>
            <w:pPr>
              <w:jc w:val="center"/>
            </w:pPr>
            <w:r/>
            <w:r>
              <w:rPr>
                <w:b w:val="0"/>
                <w:color w:val="294A63"/>
                <w:sz w:val="17"/>
              </w:rPr>
              <w:t>Moyen</w:t>
            </w:r>
          </w:p>
        </w:tc>
        <w:tc>
          <w:tcPr>
            <w:tcW w:type="dxa" w:w="2016"/>
            <w:shd w:fill="F5F9FC"/>
            <w:vAlign w:val="center"/>
          </w:tcPr>
          <w:p>
            <w:pPr>
              <w:jc w:val="center"/>
            </w:pPr>
            <w:r/>
            <w:r>
              <w:rPr>
                <w:b w:val="0"/>
                <w:color w:val="294A63"/>
                <w:sz w:val="17"/>
              </w:rPr>
              <w:t>Élevé</w:t>
            </w:r>
          </w:p>
        </w:tc>
        <w:tc>
          <w:tcPr>
            <w:tcW w:type="dxa" w:w="2016"/>
            <w:shd w:fill="F5F9FC"/>
            <w:vAlign w:val="center"/>
          </w:tcPr>
          <w:p>
            <w:pPr>
              <w:jc w:val="center"/>
            </w:pPr>
            <w:r/>
            <w:r>
              <w:rPr>
                <w:b w:val="0"/>
                <w:color w:val="294A63"/>
                <w:sz w:val="17"/>
              </w:rPr>
              <w:t>Web</w:t>
            </w:r>
          </w:p>
        </w:tc>
        <w:tc>
          <w:tcPr>
            <w:tcW w:type="dxa" w:w="2016"/>
            <w:shd w:fill="F5F9FC"/>
            <w:vAlign w:val="center"/>
          </w:tcPr>
          <w:p>
            <w:pPr>
              <w:jc w:val="center"/>
            </w:pPr>
            <w:r/>
            <w:r>
              <w:rPr>
                <w:b w:val="0"/>
                <w:color w:val="294A63"/>
                <w:sz w:val="17"/>
              </w:rPr>
              <w:t>S2</w:t>
            </w:r>
          </w:p>
        </w:tc>
      </w:tr>
      <w:tr>
        <w:tc>
          <w:tcPr>
            <w:tcW w:type="dxa" w:w="2016"/>
            <w:shd w:fill="FFFFFF"/>
            <w:vAlign w:val="center"/>
          </w:tcPr>
          <w:p>
            <w:pPr>
              <w:jc w:val="center"/>
            </w:pPr>
            <w:r/>
            <w:r>
              <w:rPr>
                <w:b w:val="0"/>
                <w:color w:val="294A63"/>
                <w:sz w:val="17"/>
              </w:rPr>
              <w:t>Ajouter deux preuves au-dessus de la ligne de flottaison</w:t>
            </w:r>
          </w:p>
        </w:tc>
        <w:tc>
          <w:tcPr>
            <w:tcW w:type="dxa" w:w="2016"/>
            <w:shd w:fill="FFFFFF"/>
            <w:vAlign w:val="center"/>
          </w:tcPr>
          <w:p>
            <w:pPr>
              <w:jc w:val="center"/>
            </w:pPr>
            <w:r/>
            <w:r>
              <w:rPr>
                <w:b w:val="0"/>
                <w:color w:val="294A63"/>
                <w:sz w:val="17"/>
              </w:rPr>
              <w:t>Faible</w:t>
            </w:r>
          </w:p>
        </w:tc>
        <w:tc>
          <w:tcPr>
            <w:tcW w:type="dxa" w:w="2016"/>
            <w:shd w:fill="FFFFFF"/>
            <w:vAlign w:val="center"/>
          </w:tcPr>
          <w:p>
            <w:pPr>
              <w:jc w:val="center"/>
            </w:pPr>
            <w:r/>
            <w:r>
              <w:rPr>
                <w:b w:val="0"/>
                <w:color w:val="294A63"/>
                <w:sz w:val="17"/>
              </w:rPr>
              <w:t>Élevé</w:t>
            </w:r>
          </w:p>
        </w:tc>
        <w:tc>
          <w:tcPr>
            <w:tcW w:type="dxa" w:w="2016"/>
            <w:shd w:fill="FFFFFF"/>
            <w:vAlign w:val="center"/>
          </w:tcPr>
          <w:p>
            <w:pPr>
              <w:jc w:val="center"/>
            </w:pPr>
            <w:r/>
            <w:r>
              <w:rPr>
                <w:b w:val="0"/>
                <w:color w:val="294A63"/>
                <w:sz w:val="17"/>
              </w:rPr>
              <w:t>Contenu</w:t>
            </w:r>
          </w:p>
        </w:tc>
        <w:tc>
          <w:tcPr>
            <w:tcW w:type="dxa" w:w="2016"/>
            <w:shd w:fill="FFFFFF"/>
            <w:vAlign w:val="center"/>
          </w:tcPr>
          <w:p>
            <w:pPr>
              <w:jc w:val="center"/>
            </w:pPr>
            <w:r/>
            <w:r>
              <w:rPr>
                <w:b w:val="0"/>
                <w:color w:val="294A63"/>
                <w:sz w:val="17"/>
              </w:rPr>
              <w:t>S2</w:t>
            </w:r>
          </w:p>
        </w:tc>
      </w:tr>
      <w:tr>
        <w:tc>
          <w:tcPr>
            <w:tcW w:type="dxa" w:w="2016"/>
            <w:shd w:fill="F5F9FC"/>
            <w:vAlign w:val="center"/>
          </w:tcPr>
          <w:p>
            <w:pPr>
              <w:jc w:val="center"/>
            </w:pPr>
            <w:r/>
            <w:r>
              <w:rPr>
                <w:b w:val="0"/>
                <w:color w:val="294A63"/>
                <w:sz w:val="17"/>
              </w:rPr>
              <w:t>Relier la source aux opportunités CRM</w:t>
            </w:r>
          </w:p>
        </w:tc>
        <w:tc>
          <w:tcPr>
            <w:tcW w:type="dxa" w:w="2016"/>
            <w:shd w:fill="F5F9FC"/>
            <w:vAlign w:val="center"/>
          </w:tcPr>
          <w:p>
            <w:pPr>
              <w:jc w:val="center"/>
            </w:pPr>
            <w:r/>
            <w:r>
              <w:rPr>
                <w:b w:val="0"/>
                <w:color w:val="294A63"/>
                <w:sz w:val="17"/>
              </w:rPr>
              <w:t>Moyen</w:t>
            </w:r>
          </w:p>
        </w:tc>
        <w:tc>
          <w:tcPr>
            <w:tcW w:type="dxa" w:w="2016"/>
            <w:shd w:fill="F5F9FC"/>
            <w:vAlign w:val="center"/>
          </w:tcPr>
          <w:p>
            <w:pPr>
              <w:jc w:val="center"/>
            </w:pPr>
            <w:r/>
            <w:r>
              <w:rPr>
                <w:b w:val="0"/>
                <w:color w:val="294A63"/>
                <w:sz w:val="17"/>
              </w:rPr>
              <w:t>Élevé</w:t>
            </w:r>
          </w:p>
        </w:tc>
        <w:tc>
          <w:tcPr>
            <w:tcW w:type="dxa" w:w="2016"/>
            <w:shd w:fill="F5F9FC"/>
            <w:vAlign w:val="center"/>
          </w:tcPr>
          <w:p>
            <w:pPr>
              <w:jc w:val="center"/>
            </w:pPr>
            <w:r/>
            <w:r>
              <w:rPr>
                <w:b w:val="0"/>
                <w:color w:val="294A63"/>
                <w:sz w:val="17"/>
              </w:rPr>
              <w:t>Data</w:t>
            </w:r>
          </w:p>
        </w:tc>
        <w:tc>
          <w:tcPr>
            <w:tcW w:type="dxa" w:w="2016"/>
            <w:shd w:fill="F5F9FC"/>
            <w:vAlign w:val="center"/>
          </w:tcPr>
          <w:p>
            <w:pPr>
              <w:jc w:val="center"/>
            </w:pPr>
            <w:r/>
            <w:r>
              <w:rPr>
                <w:b w:val="0"/>
                <w:color w:val="294A63"/>
                <w:sz w:val="17"/>
              </w:rPr>
              <w:t>S4</w:t>
            </w:r>
          </w:p>
        </w:tc>
      </w:tr>
      <w:tr>
        <w:tc>
          <w:tcPr>
            <w:tcW w:type="dxa" w:w="2016"/>
            <w:shd w:fill="FFFFFF"/>
            <w:vAlign w:val="center"/>
          </w:tcPr>
          <w:p>
            <w:pPr>
              <w:jc w:val="center"/>
            </w:pPr>
            <w:r/>
            <w:r>
              <w:rPr>
                <w:b w:val="0"/>
                <w:color w:val="294A63"/>
                <w:sz w:val="17"/>
              </w:rPr>
              <w:t>Réactiver 200 clients dormants</w:t>
            </w:r>
          </w:p>
        </w:tc>
        <w:tc>
          <w:tcPr>
            <w:tcW w:type="dxa" w:w="2016"/>
            <w:shd w:fill="FFFFFF"/>
            <w:vAlign w:val="center"/>
          </w:tcPr>
          <w:p>
            <w:pPr>
              <w:jc w:val="center"/>
            </w:pPr>
            <w:r/>
            <w:r>
              <w:rPr>
                <w:b w:val="0"/>
                <w:color w:val="294A63"/>
                <w:sz w:val="17"/>
              </w:rPr>
              <w:t>Moyen</w:t>
            </w:r>
          </w:p>
        </w:tc>
        <w:tc>
          <w:tcPr>
            <w:tcW w:type="dxa" w:w="2016"/>
            <w:shd w:fill="FFFFFF"/>
            <w:vAlign w:val="center"/>
          </w:tcPr>
          <w:p>
            <w:pPr>
              <w:jc w:val="center"/>
            </w:pPr>
            <w:r/>
            <w:r>
              <w:rPr>
                <w:b w:val="0"/>
                <w:color w:val="294A63"/>
                <w:sz w:val="17"/>
              </w:rPr>
              <w:t>Moyen</w:t>
            </w:r>
          </w:p>
        </w:tc>
        <w:tc>
          <w:tcPr>
            <w:tcW w:type="dxa" w:w="2016"/>
            <w:shd w:fill="FFFFFF"/>
            <w:vAlign w:val="center"/>
          </w:tcPr>
          <w:p>
            <w:pPr>
              <w:jc w:val="center"/>
            </w:pPr>
            <w:r/>
            <w:r>
              <w:rPr>
                <w:b w:val="0"/>
                <w:color w:val="294A63"/>
                <w:sz w:val="17"/>
              </w:rPr>
              <w:t>CRM</w:t>
            </w:r>
          </w:p>
        </w:tc>
        <w:tc>
          <w:tcPr>
            <w:tcW w:type="dxa" w:w="2016"/>
            <w:shd w:fill="FFFFFF"/>
            <w:vAlign w:val="center"/>
          </w:tcPr>
          <w:p>
            <w:pPr>
              <w:jc w:val="center"/>
            </w:pPr>
            <w:r/>
            <w:r>
              <w:rPr>
                <w:b w:val="0"/>
                <w:color w:val="294A63"/>
                <w:sz w:val="17"/>
              </w:rPr>
              <w:t>S4</w:t>
            </w:r>
          </w:p>
        </w:tc>
      </w:tr>
    </w:tbl>
    <w:p/>
    <w:p>
      <w:pPr>
        <w:pStyle w:val="Heading1"/>
        <w:jc w:val="center"/>
      </w:pPr>
      <w:r>
        <w:rPr>
          <w:color w:val="3F83B8"/>
        </w:rPr>
        <w:t>6. Feuille de route priorisée</w:t>
      </w:r>
    </w:p>
    <w:tbl>
      <w:tblPr>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shd w:fill="3F83B8"/>
            <w:vAlign w:val="center"/>
          </w:tcPr>
          <w:p>
            <w:pPr>
              <w:jc w:val="center"/>
            </w:pPr>
            <w:r/>
            <w:r>
              <w:rPr>
                <w:b/>
                <w:color w:val="FFFFFF"/>
                <w:sz w:val="18"/>
              </w:rPr>
              <w:t>Priorité</w:t>
            </w:r>
          </w:p>
        </w:tc>
        <w:tc>
          <w:tcPr>
            <w:tcW w:type="dxa" w:w="2016"/>
            <w:shd w:fill="3F83B8"/>
            <w:vAlign w:val="center"/>
          </w:tcPr>
          <w:p>
            <w:pPr>
              <w:jc w:val="center"/>
            </w:pPr>
            <w:r/>
            <w:r>
              <w:rPr>
                <w:b/>
                <w:color w:val="FFFFFF"/>
                <w:sz w:val="18"/>
              </w:rPr>
              <w:t>Projet</w:t>
            </w:r>
          </w:p>
        </w:tc>
        <w:tc>
          <w:tcPr>
            <w:tcW w:type="dxa" w:w="2016"/>
            <w:shd w:fill="3F83B8"/>
            <w:vAlign w:val="center"/>
          </w:tcPr>
          <w:p>
            <w:pPr>
              <w:jc w:val="center"/>
            </w:pPr>
            <w:r/>
            <w:r>
              <w:rPr>
                <w:b/>
                <w:color w:val="FFFFFF"/>
                <w:sz w:val="18"/>
              </w:rPr>
              <w:t>Valeur attendue</w:t>
            </w:r>
          </w:p>
        </w:tc>
        <w:tc>
          <w:tcPr>
            <w:tcW w:type="dxa" w:w="2016"/>
            <w:shd w:fill="3F83B8"/>
            <w:vAlign w:val="center"/>
          </w:tcPr>
          <w:p>
            <w:pPr>
              <w:jc w:val="center"/>
            </w:pPr>
            <w:r/>
            <w:r>
              <w:rPr>
                <w:b/>
                <w:color w:val="FFFFFF"/>
                <w:sz w:val="18"/>
              </w:rPr>
              <w:t>Budget indicatif</w:t>
            </w:r>
          </w:p>
        </w:tc>
        <w:tc>
          <w:tcPr>
            <w:tcW w:type="dxa" w:w="2016"/>
            <w:shd w:fill="3F83B8"/>
            <w:vAlign w:val="center"/>
          </w:tcPr>
          <w:p>
            <w:pPr>
              <w:jc w:val="center"/>
            </w:pPr>
            <w:r/>
            <w:r>
              <w:rPr>
                <w:b/>
                <w:color w:val="FFFFFF"/>
                <w:sz w:val="18"/>
              </w:rPr>
              <w:t>Décision</w:t>
            </w:r>
          </w:p>
        </w:tc>
      </w:tr>
      <w:tr>
        <w:tc>
          <w:tcPr>
            <w:tcW w:type="dxa" w:w="2016"/>
            <w:shd w:fill="FFFFFF"/>
            <w:vAlign w:val="center"/>
          </w:tcPr>
          <w:p>
            <w:pPr>
              <w:jc w:val="center"/>
            </w:pPr>
            <w:r/>
            <w:r>
              <w:rPr>
                <w:b w:val="0"/>
                <w:color w:val="294A63"/>
                <w:sz w:val="17"/>
              </w:rPr>
              <w:t>P1</w:t>
            </w:r>
          </w:p>
        </w:tc>
        <w:tc>
          <w:tcPr>
            <w:tcW w:type="dxa" w:w="2016"/>
            <w:shd w:fill="FFFFFF"/>
            <w:vAlign w:val="center"/>
          </w:tcPr>
          <w:p>
            <w:pPr>
              <w:jc w:val="center"/>
            </w:pPr>
            <w:r/>
            <w:r>
              <w:rPr>
                <w:b w:val="0"/>
                <w:color w:val="294A63"/>
                <w:sz w:val="17"/>
              </w:rPr>
              <w:t>Mesure des conversions et qualité des leads</w:t>
            </w:r>
          </w:p>
        </w:tc>
        <w:tc>
          <w:tcPr>
            <w:tcW w:type="dxa" w:w="2016"/>
            <w:shd w:fill="FFFFFF"/>
            <w:vAlign w:val="center"/>
          </w:tcPr>
          <w:p>
            <w:pPr>
              <w:jc w:val="center"/>
            </w:pPr>
            <w:r/>
            <w:r>
              <w:rPr>
                <w:b w:val="0"/>
                <w:color w:val="294A63"/>
                <w:sz w:val="17"/>
              </w:rPr>
              <w:t>Base de pilotage fiable</w:t>
            </w:r>
          </w:p>
        </w:tc>
        <w:tc>
          <w:tcPr>
            <w:tcW w:type="dxa" w:w="2016"/>
            <w:shd w:fill="FFFFFF"/>
            <w:vAlign w:val="center"/>
          </w:tcPr>
          <w:p>
            <w:pPr>
              <w:jc w:val="center"/>
            </w:pPr>
            <w:r/>
            <w:r>
              <w:rPr>
                <w:b w:val="0"/>
                <w:color w:val="294A63"/>
                <w:sz w:val="17"/>
              </w:rPr>
              <w:t>1 200 €</w:t>
            </w:r>
          </w:p>
        </w:tc>
        <w:tc>
          <w:tcPr>
            <w:tcW w:type="dxa" w:w="2016"/>
            <w:shd w:fill="FFFFFF"/>
            <w:vAlign w:val="center"/>
          </w:tcPr>
          <w:p>
            <w:pPr>
              <w:jc w:val="center"/>
            </w:pPr>
            <w:r/>
            <w:r>
              <w:rPr>
                <w:b w:val="0"/>
                <w:color w:val="294A63"/>
                <w:sz w:val="17"/>
              </w:rPr>
              <w:t>Lancer</w:t>
            </w:r>
          </w:p>
        </w:tc>
      </w:tr>
      <w:tr>
        <w:tc>
          <w:tcPr>
            <w:tcW w:type="dxa" w:w="2016"/>
            <w:shd w:fill="F5F9FC"/>
            <w:vAlign w:val="center"/>
          </w:tcPr>
          <w:p>
            <w:pPr>
              <w:jc w:val="center"/>
            </w:pPr>
            <w:r/>
            <w:r>
              <w:rPr>
                <w:b w:val="0"/>
                <w:color w:val="294A63"/>
                <w:sz w:val="17"/>
              </w:rPr>
              <w:t>P1</w:t>
            </w:r>
          </w:p>
        </w:tc>
        <w:tc>
          <w:tcPr>
            <w:tcW w:type="dxa" w:w="2016"/>
            <w:shd w:fill="F5F9FC"/>
            <w:vAlign w:val="center"/>
          </w:tcPr>
          <w:p>
            <w:pPr>
              <w:jc w:val="center"/>
            </w:pPr>
            <w:r/>
            <w:r>
              <w:rPr>
                <w:b w:val="0"/>
                <w:color w:val="294A63"/>
                <w:sz w:val="17"/>
              </w:rPr>
              <w:t>Pages d’offre et cas clients</w:t>
            </w:r>
          </w:p>
        </w:tc>
        <w:tc>
          <w:tcPr>
            <w:tcW w:type="dxa" w:w="2016"/>
            <w:shd w:fill="F5F9FC"/>
            <w:vAlign w:val="center"/>
          </w:tcPr>
          <w:p>
            <w:pPr>
              <w:jc w:val="center"/>
            </w:pPr>
            <w:r/>
            <w:r>
              <w:rPr>
                <w:b w:val="0"/>
                <w:color w:val="294A63"/>
                <w:sz w:val="17"/>
              </w:rPr>
              <w:t>Conversion +1 point</w:t>
            </w:r>
          </w:p>
        </w:tc>
        <w:tc>
          <w:tcPr>
            <w:tcW w:type="dxa" w:w="2016"/>
            <w:shd w:fill="F5F9FC"/>
            <w:vAlign w:val="center"/>
          </w:tcPr>
          <w:p>
            <w:pPr>
              <w:jc w:val="center"/>
            </w:pPr>
            <w:r/>
            <w:r>
              <w:rPr>
                <w:b w:val="0"/>
                <w:color w:val="294A63"/>
                <w:sz w:val="17"/>
              </w:rPr>
              <w:t>2 600 €</w:t>
            </w:r>
          </w:p>
        </w:tc>
        <w:tc>
          <w:tcPr>
            <w:tcW w:type="dxa" w:w="2016"/>
            <w:shd w:fill="F5F9FC"/>
            <w:vAlign w:val="center"/>
          </w:tcPr>
          <w:p>
            <w:pPr>
              <w:jc w:val="center"/>
            </w:pPr>
            <w:r/>
            <w:r>
              <w:rPr>
                <w:b w:val="0"/>
                <w:color w:val="294A63"/>
                <w:sz w:val="17"/>
              </w:rPr>
              <w:t>Lancer</w:t>
            </w:r>
          </w:p>
        </w:tc>
      </w:tr>
      <w:tr>
        <w:tc>
          <w:tcPr>
            <w:tcW w:type="dxa" w:w="2016"/>
            <w:shd w:fill="FFFFFF"/>
            <w:vAlign w:val="center"/>
          </w:tcPr>
          <w:p>
            <w:pPr>
              <w:jc w:val="center"/>
            </w:pPr>
            <w:r/>
            <w:r>
              <w:rPr>
                <w:b w:val="0"/>
                <w:color w:val="294A63"/>
                <w:sz w:val="17"/>
              </w:rPr>
              <w:t>P2</w:t>
            </w:r>
          </w:p>
        </w:tc>
        <w:tc>
          <w:tcPr>
            <w:tcW w:type="dxa" w:w="2016"/>
            <w:shd w:fill="FFFFFF"/>
            <w:vAlign w:val="center"/>
          </w:tcPr>
          <w:p>
            <w:pPr>
              <w:jc w:val="center"/>
            </w:pPr>
            <w:r/>
            <w:r>
              <w:rPr>
                <w:b w:val="0"/>
                <w:color w:val="294A63"/>
                <w:sz w:val="17"/>
              </w:rPr>
              <w:t>Cluster SEO sectoriel</w:t>
            </w:r>
          </w:p>
        </w:tc>
        <w:tc>
          <w:tcPr>
            <w:tcW w:type="dxa" w:w="2016"/>
            <w:shd w:fill="FFFFFF"/>
            <w:vAlign w:val="center"/>
          </w:tcPr>
          <w:p>
            <w:pPr>
              <w:jc w:val="center"/>
            </w:pPr>
            <w:r/>
            <w:r>
              <w:rPr>
                <w:b w:val="0"/>
                <w:color w:val="294A63"/>
                <w:sz w:val="17"/>
              </w:rPr>
              <w:t>+30 % trafic qualifié</w:t>
            </w:r>
          </w:p>
        </w:tc>
        <w:tc>
          <w:tcPr>
            <w:tcW w:type="dxa" w:w="2016"/>
            <w:shd w:fill="FFFFFF"/>
            <w:vAlign w:val="center"/>
          </w:tcPr>
          <w:p>
            <w:pPr>
              <w:jc w:val="center"/>
            </w:pPr>
            <w:r/>
            <w:r>
              <w:rPr>
                <w:b w:val="0"/>
                <w:color w:val="294A63"/>
                <w:sz w:val="17"/>
              </w:rPr>
              <w:t>3 400 €</w:t>
            </w:r>
          </w:p>
        </w:tc>
        <w:tc>
          <w:tcPr>
            <w:tcW w:type="dxa" w:w="2016"/>
            <w:shd w:fill="FFFFFF"/>
            <w:vAlign w:val="center"/>
          </w:tcPr>
          <w:p>
            <w:pPr>
              <w:jc w:val="center"/>
            </w:pPr>
            <w:r/>
            <w:r>
              <w:rPr>
                <w:b w:val="0"/>
                <w:color w:val="294A63"/>
                <w:sz w:val="17"/>
              </w:rPr>
              <w:t>Planifier</w:t>
            </w:r>
          </w:p>
        </w:tc>
      </w:tr>
      <w:tr>
        <w:tc>
          <w:tcPr>
            <w:tcW w:type="dxa" w:w="2016"/>
            <w:shd w:fill="F5F9FC"/>
            <w:vAlign w:val="center"/>
          </w:tcPr>
          <w:p>
            <w:pPr>
              <w:jc w:val="center"/>
            </w:pPr>
            <w:r/>
            <w:r>
              <w:rPr>
                <w:b w:val="0"/>
                <w:color w:val="294A63"/>
                <w:sz w:val="17"/>
              </w:rPr>
              <w:t>P2</w:t>
            </w:r>
          </w:p>
        </w:tc>
        <w:tc>
          <w:tcPr>
            <w:tcW w:type="dxa" w:w="2016"/>
            <w:shd w:fill="F5F9FC"/>
            <w:vAlign w:val="center"/>
          </w:tcPr>
          <w:p>
            <w:pPr>
              <w:jc w:val="center"/>
            </w:pPr>
            <w:r/>
            <w:r>
              <w:rPr>
                <w:b w:val="0"/>
                <w:color w:val="294A63"/>
                <w:sz w:val="17"/>
              </w:rPr>
              <w:t>Scénarios CRM</w:t>
            </w:r>
          </w:p>
        </w:tc>
        <w:tc>
          <w:tcPr>
            <w:tcW w:type="dxa" w:w="2016"/>
            <w:shd w:fill="F5F9FC"/>
            <w:vAlign w:val="center"/>
          </w:tcPr>
          <w:p>
            <w:pPr>
              <w:jc w:val="center"/>
            </w:pPr>
            <w:r/>
            <w:r>
              <w:rPr>
                <w:b w:val="0"/>
                <w:color w:val="294A63"/>
                <w:sz w:val="17"/>
              </w:rPr>
              <w:t>Réachat +5 points</w:t>
            </w:r>
          </w:p>
        </w:tc>
        <w:tc>
          <w:tcPr>
            <w:tcW w:type="dxa" w:w="2016"/>
            <w:shd w:fill="F5F9FC"/>
            <w:vAlign w:val="center"/>
          </w:tcPr>
          <w:p>
            <w:pPr>
              <w:jc w:val="center"/>
            </w:pPr>
            <w:r/>
            <w:r>
              <w:rPr>
                <w:b w:val="0"/>
                <w:color w:val="294A63"/>
                <w:sz w:val="17"/>
              </w:rPr>
              <w:t>1 500 €</w:t>
            </w:r>
          </w:p>
        </w:tc>
        <w:tc>
          <w:tcPr>
            <w:tcW w:type="dxa" w:w="2016"/>
            <w:shd w:fill="F5F9FC"/>
            <w:vAlign w:val="center"/>
          </w:tcPr>
          <w:p>
            <w:pPr>
              <w:jc w:val="center"/>
            </w:pPr>
            <w:r/>
            <w:r>
              <w:rPr>
                <w:b w:val="0"/>
                <w:color w:val="294A63"/>
                <w:sz w:val="17"/>
              </w:rPr>
              <w:t>Planifier</w:t>
            </w:r>
          </w:p>
        </w:tc>
      </w:tr>
      <w:tr>
        <w:tc>
          <w:tcPr>
            <w:tcW w:type="dxa" w:w="2016"/>
            <w:shd w:fill="FFFFFF"/>
            <w:vAlign w:val="center"/>
          </w:tcPr>
          <w:p>
            <w:pPr>
              <w:jc w:val="center"/>
            </w:pPr>
            <w:r/>
            <w:r>
              <w:rPr>
                <w:b w:val="0"/>
                <w:color w:val="294A63"/>
                <w:sz w:val="17"/>
              </w:rPr>
              <w:t>P3</w:t>
            </w:r>
          </w:p>
        </w:tc>
        <w:tc>
          <w:tcPr>
            <w:tcW w:type="dxa" w:w="2016"/>
            <w:shd w:fill="FFFFFF"/>
            <w:vAlign w:val="center"/>
          </w:tcPr>
          <w:p>
            <w:pPr>
              <w:jc w:val="center"/>
            </w:pPr>
            <w:r/>
            <w:r>
              <w:rPr>
                <w:b w:val="0"/>
                <w:color w:val="294A63"/>
                <w:sz w:val="17"/>
              </w:rPr>
              <w:t>Extension sociale</w:t>
            </w:r>
          </w:p>
        </w:tc>
        <w:tc>
          <w:tcPr>
            <w:tcW w:type="dxa" w:w="2016"/>
            <w:shd w:fill="FFFFFF"/>
            <w:vAlign w:val="center"/>
          </w:tcPr>
          <w:p>
            <w:pPr>
              <w:jc w:val="center"/>
            </w:pPr>
            <w:r/>
            <w:r>
              <w:rPr>
                <w:b w:val="0"/>
                <w:color w:val="294A63"/>
                <w:sz w:val="17"/>
              </w:rPr>
              <w:t>Portée ciblée</w:t>
            </w:r>
          </w:p>
        </w:tc>
        <w:tc>
          <w:tcPr>
            <w:tcW w:type="dxa" w:w="2016"/>
            <w:shd w:fill="FFFFFF"/>
            <w:vAlign w:val="center"/>
          </w:tcPr>
          <w:p>
            <w:pPr>
              <w:jc w:val="center"/>
            </w:pPr>
            <w:r/>
            <w:r>
              <w:rPr>
                <w:b w:val="0"/>
                <w:color w:val="294A63"/>
                <w:sz w:val="17"/>
              </w:rPr>
              <w:t>1 200 €</w:t>
            </w:r>
          </w:p>
        </w:tc>
        <w:tc>
          <w:tcPr>
            <w:tcW w:type="dxa" w:w="2016"/>
            <w:shd w:fill="FFFFFF"/>
            <w:vAlign w:val="center"/>
          </w:tcPr>
          <w:p>
            <w:pPr>
              <w:jc w:val="center"/>
            </w:pPr>
            <w:r/>
            <w:r>
              <w:rPr>
                <w:b w:val="0"/>
                <w:color w:val="294A63"/>
                <w:sz w:val="17"/>
              </w:rPr>
              <w:t>Tester après P1</w:t>
            </w:r>
          </w:p>
        </w:tc>
      </w:tr>
    </w:tbl>
    <w:p/>
    <w:p>
      <w:pPr>
        <w:pStyle w:val="Heading1"/>
        <w:jc w:val="center"/>
      </w:pPr>
      <w:r>
        <w:rPr>
          <w:color w:val="3F83B8"/>
        </w:rPr>
        <w:t>7. Avis d’audit</w:t>
      </w:r>
    </w:p>
    <w:p>
      <w:pPr>
        <w:jc w:val="both"/>
      </w:pPr>
      <w:r>
        <w:t>La maturité globale atteint 2,3/5. L’organisation possède les actifs nécessaires pour progresser rapidement. La priorité porte sur la cohérence du parcours et la fiabilité de la mesure. Le développement de nouveaux canaux devient pertinent après stabilisation de ce socle.</w:t>
      </w:r>
    </w:p>
    <w:p>
      <w:pPr>
        <w:pStyle w:val="Heading1"/>
        <w:jc w:val="center"/>
      </w:pPr>
      <w:r>
        <w:rPr>
          <w:color w:val="3F83B8"/>
        </w:rPr>
        <w:t>8. Grille de contrôle technique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3F83B8"/>
            <w:vAlign w:val="center"/>
          </w:tcPr>
          <w:p>
            <w:pPr>
              <w:jc w:val="center"/>
            </w:pPr>
            <w:r/>
            <w:r>
              <w:rPr>
                <w:b/>
                <w:color w:val="FFFFFF"/>
                <w:sz w:val="18"/>
              </w:rPr>
              <w:t>Contrôle</w:t>
            </w:r>
          </w:p>
        </w:tc>
        <w:tc>
          <w:tcPr>
            <w:tcW w:type="dxa" w:w="2520"/>
            <w:shd w:fill="3F83B8"/>
            <w:vAlign w:val="center"/>
          </w:tcPr>
          <w:p>
            <w:pPr>
              <w:jc w:val="center"/>
            </w:pPr>
            <w:r/>
            <w:r>
              <w:rPr>
                <w:b/>
                <w:color w:val="FFFFFF"/>
                <w:sz w:val="18"/>
              </w:rPr>
              <w:t>Résultat</w:t>
            </w:r>
          </w:p>
        </w:tc>
        <w:tc>
          <w:tcPr>
            <w:tcW w:type="dxa" w:w="2520"/>
            <w:shd w:fill="3F83B8"/>
            <w:vAlign w:val="center"/>
          </w:tcPr>
          <w:p>
            <w:pPr>
              <w:jc w:val="center"/>
            </w:pPr>
            <w:r/>
            <w:r>
              <w:rPr>
                <w:b/>
                <w:color w:val="FFFFFF"/>
                <w:sz w:val="18"/>
              </w:rPr>
              <w:t>Preuve attendue</w:t>
            </w:r>
          </w:p>
        </w:tc>
        <w:tc>
          <w:tcPr>
            <w:tcW w:type="dxa" w:w="2520"/>
            <w:shd w:fill="3F83B8"/>
            <w:vAlign w:val="center"/>
          </w:tcPr>
          <w:p>
            <w:pPr>
              <w:jc w:val="center"/>
            </w:pPr>
            <w:r/>
            <w:r>
              <w:rPr>
                <w:b/>
                <w:color w:val="FFFFFF"/>
                <w:sz w:val="18"/>
              </w:rPr>
              <w:t>Correction</w:t>
            </w:r>
          </w:p>
        </w:tc>
      </w:tr>
      <w:tr>
        <w:tc>
          <w:tcPr>
            <w:tcW w:type="dxa" w:w="2520"/>
            <w:shd w:fill="FFFFFF"/>
            <w:vAlign w:val="center"/>
          </w:tcPr>
          <w:p>
            <w:pPr>
              <w:jc w:val="center"/>
            </w:pPr>
            <w:r/>
            <w:r>
              <w:rPr>
                <w:b w:val="0"/>
                <w:color w:val="294A63"/>
                <w:sz w:val="17"/>
              </w:rPr>
              <w:t>Indexation et canonicals</w:t>
            </w:r>
          </w:p>
        </w:tc>
        <w:tc>
          <w:tcPr>
            <w:tcW w:type="dxa" w:w="2520"/>
            <w:shd w:fill="FFFFFF"/>
            <w:vAlign w:val="center"/>
          </w:tcPr>
          <w:p>
            <w:pPr>
              <w:jc w:val="center"/>
            </w:pPr>
            <w:r/>
            <w:r>
              <w:rPr>
                <w:b w:val="0"/>
                <w:color w:val="294A63"/>
                <w:sz w:val="17"/>
              </w:rPr>
              <w:t>Partiel</w:t>
            </w:r>
          </w:p>
        </w:tc>
        <w:tc>
          <w:tcPr>
            <w:tcW w:type="dxa" w:w="2520"/>
            <w:shd w:fill="FFFFFF"/>
            <w:vAlign w:val="center"/>
          </w:tcPr>
          <w:p>
            <w:pPr>
              <w:jc w:val="center"/>
            </w:pPr>
            <w:r/>
            <w:r>
              <w:rPr>
                <w:b w:val="0"/>
                <w:color w:val="294A63"/>
                <w:sz w:val="17"/>
              </w:rPr>
              <w:t>Rapport de couverture</w:t>
            </w:r>
          </w:p>
        </w:tc>
        <w:tc>
          <w:tcPr>
            <w:tcW w:type="dxa" w:w="2520"/>
            <w:shd w:fill="FFFFFF"/>
            <w:vAlign w:val="center"/>
          </w:tcPr>
          <w:p>
            <w:pPr>
              <w:jc w:val="center"/>
            </w:pPr>
            <w:r/>
            <w:r>
              <w:rPr>
                <w:b w:val="0"/>
                <w:color w:val="294A63"/>
                <w:sz w:val="17"/>
              </w:rPr>
              <w:t>Corriger les pages dupliquées</w:t>
            </w:r>
          </w:p>
        </w:tc>
      </w:tr>
      <w:tr>
        <w:tc>
          <w:tcPr>
            <w:tcW w:type="dxa" w:w="2520"/>
            <w:shd w:fill="F5F9FC"/>
            <w:vAlign w:val="center"/>
          </w:tcPr>
          <w:p>
            <w:pPr>
              <w:jc w:val="center"/>
            </w:pPr>
            <w:r/>
            <w:r>
              <w:rPr>
                <w:b w:val="0"/>
                <w:color w:val="294A63"/>
                <w:sz w:val="17"/>
              </w:rPr>
              <w:t>Performance mobile</w:t>
            </w:r>
          </w:p>
        </w:tc>
        <w:tc>
          <w:tcPr>
            <w:tcW w:type="dxa" w:w="2520"/>
            <w:shd w:fill="F5F9FC"/>
            <w:vAlign w:val="center"/>
          </w:tcPr>
          <w:p>
            <w:pPr>
              <w:jc w:val="center"/>
            </w:pPr>
            <w:r/>
            <w:r>
              <w:rPr>
                <w:b w:val="0"/>
                <w:color w:val="294A63"/>
                <w:sz w:val="17"/>
              </w:rPr>
              <w:t>À améliorer</w:t>
            </w:r>
          </w:p>
        </w:tc>
        <w:tc>
          <w:tcPr>
            <w:tcW w:type="dxa" w:w="2520"/>
            <w:shd w:fill="F5F9FC"/>
            <w:vAlign w:val="center"/>
          </w:tcPr>
          <w:p>
            <w:pPr>
              <w:jc w:val="center"/>
            </w:pPr>
            <w:r/>
            <w:r>
              <w:rPr>
                <w:b w:val="0"/>
                <w:color w:val="294A63"/>
                <w:sz w:val="17"/>
              </w:rPr>
              <w:t>Core Web Vitals</w:t>
            </w:r>
          </w:p>
        </w:tc>
        <w:tc>
          <w:tcPr>
            <w:tcW w:type="dxa" w:w="2520"/>
            <w:shd w:fill="F5F9FC"/>
            <w:vAlign w:val="center"/>
          </w:tcPr>
          <w:p>
            <w:pPr>
              <w:jc w:val="center"/>
            </w:pPr>
            <w:r/>
            <w:r>
              <w:rPr>
                <w:b w:val="0"/>
                <w:color w:val="294A63"/>
                <w:sz w:val="17"/>
              </w:rPr>
              <w:t>Optimiser images et scripts</w:t>
            </w:r>
          </w:p>
        </w:tc>
      </w:tr>
      <w:tr>
        <w:tc>
          <w:tcPr>
            <w:tcW w:type="dxa" w:w="2520"/>
            <w:shd w:fill="FFFFFF"/>
            <w:vAlign w:val="center"/>
          </w:tcPr>
          <w:p>
            <w:pPr>
              <w:jc w:val="center"/>
            </w:pPr>
            <w:r/>
            <w:r>
              <w:rPr>
                <w:b w:val="0"/>
                <w:color w:val="294A63"/>
                <w:sz w:val="17"/>
              </w:rPr>
              <w:t>Consentement et balises</w:t>
            </w:r>
          </w:p>
        </w:tc>
        <w:tc>
          <w:tcPr>
            <w:tcW w:type="dxa" w:w="2520"/>
            <w:shd w:fill="FFFFFF"/>
            <w:vAlign w:val="center"/>
          </w:tcPr>
          <w:p>
            <w:pPr>
              <w:jc w:val="center"/>
            </w:pPr>
            <w:r/>
            <w:r>
              <w:rPr>
                <w:b w:val="0"/>
                <w:color w:val="294A63"/>
                <w:sz w:val="17"/>
              </w:rPr>
              <w:t>Non homogène</w:t>
            </w:r>
          </w:p>
        </w:tc>
        <w:tc>
          <w:tcPr>
            <w:tcW w:type="dxa" w:w="2520"/>
            <w:shd w:fill="FFFFFF"/>
            <w:vAlign w:val="center"/>
          </w:tcPr>
          <w:p>
            <w:pPr>
              <w:jc w:val="center"/>
            </w:pPr>
            <w:r/>
            <w:r>
              <w:rPr>
                <w:b w:val="0"/>
                <w:color w:val="294A63"/>
                <w:sz w:val="17"/>
              </w:rPr>
              <w:t>Plan de marquage</w:t>
            </w:r>
          </w:p>
        </w:tc>
        <w:tc>
          <w:tcPr>
            <w:tcW w:type="dxa" w:w="2520"/>
            <w:shd w:fill="FFFFFF"/>
            <w:vAlign w:val="center"/>
          </w:tcPr>
          <w:p>
            <w:pPr>
              <w:jc w:val="center"/>
            </w:pPr>
            <w:r/>
            <w:r>
              <w:rPr>
                <w:b w:val="0"/>
                <w:color w:val="294A63"/>
                <w:sz w:val="17"/>
              </w:rPr>
              <w:t>Centraliser le déploiement</w:t>
            </w:r>
          </w:p>
        </w:tc>
      </w:tr>
      <w:tr>
        <w:tc>
          <w:tcPr>
            <w:tcW w:type="dxa" w:w="2520"/>
            <w:shd w:fill="F5F9FC"/>
            <w:vAlign w:val="center"/>
          </w:tcPr>
          <w:p>
            <w:pPr>
              <w:jc w:val="center"/>
            </w:pPr>
            <w:r/>
            <w:r>
              <w:rPr>
                <w:b w:val="0"/>
                <w:color w:val="294A63"/>
                <w:sz w:val="17"/>
              </w:rPr>
              <w:t>Sécurité des formulaires</w:t>
            </w:r>
          </w:p>
        </w:tc>
        <w:tc>
          <w:tcPr>
            <w:tcW w:type="dxa" w:w="2520"/>
            <w:shd w:fill="F5F9FC"/>
            <w:vAlign w:val="center"/>
          </w:tcPr>
          <w:p>
            <w:pPr>
              <w:jc w:val="center"/>
            </w:pPr>
            <w:r/>
            <w:r>
              <w:rPr>
                <w:b w:val="0"/>
                <w:color w:val="294A63"/>
                <w:sz w:val="17"/>
              </w:rPr>
              <w:t>Conforme</w:t>
            </w:r>
          </w:p>
        </w:tc>
        <w:tc>
          <w:tcPr>
            <w:tcW w:type="dxa" w:w="2520"/>
            <w:shd w:fill="F5F9FC"/>
            <w:vAlign w:val="center"/>
          </w:tcPr>
          <w:p>
            <w:pPr>
              <w:jc w:val="center"/>
            </w:pPr>
            <w:r/>
            <w:r>
              <w:rPr>
                <w:b w:val="0"/>
                <w:color w:val="294A63"/>
                <w:sz w:val="17"/>
              </w:rPr>
              <w:t>Test de soumission</w:t>
            </w:r>
          </w:p>
        </w:tc>
        <w:tc>
          <w:tcPr>
            <w:tcW w:type="dxa" w:w="2520"/>
            <w:shd w:fill="F5F9FC"/>
            <w:vAlign w:val="center"/>
          </w:tcPr>
          <w:p>
            <w:pPr>
              <w:jc w:val="center"/>
            </w:pPr>
            <w:r/>
            <w:r>
              <w:rPr>
                <w:b w:val="0"/>
                <w:color w:val="294A63"/>
                <w:sz w:val="17"/>
              </w:rPr>
              <w:t>Contrôle trimestriel</w:t>
            </w:r>
          </w:p>
        </w:tc>
      </w:tr>
      <w:tr>
        <w:tc>
          <w:tcPr>
            <w:tcW w:type="dxa" w:w="2520"/>
            <w:shd w:fill="FFFFFF"/>
            <w:vAlign w:val="center"/>
          </w:tcPr>
          <w:p>
            <w:pPr>
              <w:jc w:val="center"/>
            </w:pPr>
            <w:r/>
            <w:r>
              <w:rPr>
                <w:b w:val="0"/>
                <w:color w:val="294A63"/>
                <w:sz w:val="17"/>
              </w:rPr>
              <w:t>Attribution CRM</w:t>
            </w:r>
          </w:p>
        </w:tc>
        <w:tc>
          <w:tcPr>
            <w:tcW w:type="dxa" w:w="2520"/>
            <w:shd w:fill="FFFFFF"/>
            <w:vAlign w:val="center"/>
          </w:tcPr>
          <w:p>
            <w:pPr>
              <w:jc w:val="center"/>
            </w:pPr>
            <w:r/>
            <w:r>
              <w:rPr>
                <w:b w:val="0"/>
                <w:color w:val="294A63"/>
                <w:sz w:val="17"/>
              </w:rPr>
              <w:t>Insuffisant</w:t>
            </w:r>
          </w:p>
        </w:tc>
        <w:tc>
          <w:tcPr>
            <w:tcW w:type="dxa" w:w="2520"/>
            <w:shd w:fill="FFFFFF"/>
            <w:vAlign w:val="center"/>
          </w:tcPr>
          <w:p>
            <w:pPr>
              <w:jc w:val="center"/>
            </w:pPr>
            <w:r/>
            <w:r>
              <w:rPr>
                <w:b w:val="0"/>
                <w:color w:val="294A63"/>
                <w:sz w:val="17"/>
              </w:rPr>
              <w:t>Source sur chaque opportunité</w:t>
            </w:r>
          </w:p>
        </w:tc>
        <w:tc>
          <w:tcPr>
            <w:tcW w:type="dxa" w:w="2520"/>
            <w:shd w:fill="FFFFFF"/>
            <w:vAlign w:val="center"/>
          </w:tcPr>
          <w:p>
            <w:pPr>
              <w:jc w:val="center"/>
            </w:pPr>
            <w:r/>
            <w:r>
              <w:rPr>
                <w:b w:val="0"/>
                <w:color w:val="294A63"/>
                <w:sz w:val="17"/>
              </w:rPr>
              <w:t>Champ obligatoire + automatisation</w:t>
            </w:r>
          </w:p>
        </w:tc>
      </w:tr>
    </w:tbl>
    <w:p/>
    <w:p>
      <w:pPr>
        <w:pStyle w:val="Heading1"/>
        <w:jc w:val="center"/>
      </w:pPr>
      <w:r>
        <w:rPr>
          <w:color w:val="3F83B8"/>
        </w:rPr>
        <w:t>9. Plan de recette</w:t>
      </w:r>
    </w:p>
    <w:tbl>
      <w:tblPr>
        <w:tblW w:type="auto" w:w="0"/>
        <w:jc w:val="center"/>
        <w:tblLayout w:type="autofit"/>
        <w:tblLook w:firstColumn="1" w:firstRow="1" w:lastColumn="0" w:lastRow="0" w:noHBand="0" w:noVBand="1" w:val="04A0"/>
      </w:tblPr>
      <w:tblGrid>
        <w:gridCol w:w="2520"/>
        <w:gridCol w:w="2520"/>
        <w:gridCol w:w="2520"/>
        <w:gridCol w:w="2520"/>
      </w:tblGrid>
      <w:tr>
        <w:tc>
          <w:tcPr>
            <w:tcW w:type="dxa" w:w="2520"/>
            <w:shd w:fill="3F83B8"/>
            <w:vAlign w:val="center"/>
          </w:tcPr>
          <w:p>
            <w:pPr>
              <w:jc w:val="center"/>
            </w:pPr>
            <w:r/>
            <w:r>
              <w:rPr>
                <w:b/>
                <w:color w:val="FFFFFF"/>
                <w:sz w:val="18"/>
              </w:rPr>
              <w:t>Scénario</w:t>
            </w:r>
          </w:p>
        </w:tc>
        <w:tc>
          <w:tcPr>
            <w:tcW w:type="dxa" w:w="2520"/>
            <w:shd w:fill="3F83B8"/>
            <w:vAlign w:val="center"/>
          </w:tcPr>
          <w:p>
            <w:pPr>
              <w:jc w:val="center"/>
            </w:pPr>
            <w:r/>
            <w:r>
              <w:rPr>
                <w:b/>
                <w:color w:val="FFFFFF"/>
                <w:sz w:val="18"/>
              </w:rPr>
              <w:t>Résultat attendu</w:t>
            </w:r>
          </w:p>
        </w:tc>
        <w:tc>
          <w:tcPr>
            <w:tcW w:type="dxa" w:w="2520"/>
            <w:shd w:fill="3F83B8"/>
            <w:vAlign w:val="center"/>
          </w:tcPr>
          <w:p>
            <w:pPr>
              <w:jc w:val="center"/>
            </w:pPr>
            <w:r/>
            <w:r>
              <w:rPr>
                <w:b/>
                <w:color w:val="FFFFFF"/>
                <w:sz w:val="18"/>
              </w:rPr>
              <w:t>Responsable</w:t>
            </w:r>
          </w:p>
        </w:tc>
        <w:tc>
          <w:tcPr>
            <w:tcW w:type="dxa" w:w="2520"/>
            <w:shd w:fill="3F83B8"/>
            <w:vAlign w:val="center"/>
          </w:tcPr>
          <w:p>
            <w:pPr>
              <w:jc w:val="center"/>
            </w:pPr>
            <w:r/>
            <w:r>
              <w:rPr>
                <w:b/>
                <w:color w:val="FFFFFF"/>
                <w:sz w:val="18"/>
              </w:rPr>
              <w:t>Statut</w:t>
            </w:r>
          </w:p>
        </w:tc>
      </w:tr>
      <w:tr>
        <w:tc>
          <w:tcPr>
            <w:tcW w:type="dxa" w:w="2520"/>
            <w:shd w:fill="FFFFFF"/>
            <w:vAlign w:val="center"/>
          </w:tcPr>
          <w:p>
            <w:pPr>
              <w:jc w:val="center"/>
            </w:pPr>
            <w:r/>
            <w:r>
              <w:rPr>
                <w:b w:val="0"/>
                <w:color w:val="294A63"/>
                <w:sz w:val="17"/>
              </w:rPr>
              <w:t>Soumission formulaire mobile</w:t>
            </w:r>
          </w:p>
        </w:tc>
        <w:tc>
          <w:tcPr>
            <w:tcW w:type="dxa" w:w="2520"/>
            <w:shd w:fill="FFFFFF"/>
            <w:vAlign w:val="center"/>
          </w:tcPr>
          <w:p>
            <w:pPr>
              <w:jc w:val="center"/>
            </w:pPr>
            <w:r/>
            <w:r>
              <w:rPr>
                <w:b w:val="0"/>
                <w:color w:val="294A63"/>
                <w:sz w:val="17"/>
              </w:rPr>
              <w:t>Contact créé avec source et page</w:t>
            </w:r>
          </w:p>
        </w:tc>
        <w:tc>
          <w:tcPr>
            <w:tcW w:type="dxa" w:w="2520"/>
            <w:shd w:fill="FFFFFF"/>
            <w:vAlign w:val="center"/>
          </w:tcPr>
          <w:p>
            <w:pPr>
              <w:jc w:val="center"/>
            </w:pPr>
            <w:r/>
            <w:r>
              <w:rPr>
                <w:b w:val="0"/>
                <w:color w:val="294A63"/>
                <w:sz w:val="17"/>
              </w:rPr>
              <w:t>Web</w:t>
            </w:r>
          </w:p>
        </w:tc>
        <w:tc>
          <w:tcPr>
            <w:tcW w:type="dxa" w:w="2520"/>
            <w:shd w:fill="FFFFFF"/>
            <w:vAlign w:val="center"/>
          </w:tcPr>
          <w:p>
            <w:pPr>
              <w:jc w:val="center"/>
            </w:pPr>
            <w:r/>
            <w:r>
              <w:rPr>
                <w:b w:val="0"/>
                <w:color w:val="294A63"/>
                <w:sz w:val="17"/>
              </w:rPr>
              <w:t>À tester</w:t>
            </w:r>
          </w:p>
        </w:tc>
      </w:tr>
      <w:tr>
        <w:tc>
          <w:tcPr>
            <w:tcW w:type="dxa" w:w="2520"/>
            <w:shd w:fill="F5F9FC"/>
            <w:vAlign w:val="center"/>
          </w:tcPr>
          <w:p>
            <w:pPr>
              <w:jc w:val="center"/>
            </w:pPr>
            <w:r/>
            <w:r>
              <w:rPr>
                <w:b w:val="0"/>
                <w:color w:val="294A63"/>
                <w:sz w:val="17"/>
              </w:rPr>
              <w:t>Téléchargement d’un guide</w:t>
            </w:r>
          </w:p>
        </w:tc>
        <w:tc>
          <w:tcPr>
            <w:tcW w:type="dxa" w:w="2520"/>
            <w:shd w:fill="F5F9FC"/>
            <w:vAlign w:val="center"/>
          </w:tcPr>
          <w:p>
            <w:pPr>
              <w:jc w:val="center"/>
            </w:pPr>
            <w:r/>
            <w:r>
              <w:rPr>
                <w:b w:val="0"/>
                <w:color w:val="294A63"/>
                <w:sz w:val="17"/>
              </w:rPr>
              <w:t>Événement et consentement enregistrés</w:t>
            </w:r>
          </w:p>
        </w:tc>
        <w:tc>
          <w:tcPr>
            <w:tcW w:type="dxa" w:w="2520"/>
            <w:shd w:fill="F5F9FC"/>
            <w:vAlign w:val="center"/>
          </w:tcPr>
          <w:p>
            <w:pPr>
              <w:jc w:val="center"/>
            </w:pPr>
            <w:r/>
            <w:r>
              <w:rPr>
                <w:b w:val="0"/>
                <w:color w:val="294A63"/>
                <w:sz w:val="17"/>
              </w:rPr>
              <w:t>Data</w:t>
            </w:r>
          </w:p>
        </w:tc>
        <w:tc>
          <w:tcPr>
            <w:tcW w:type="dxa" w:w="2520"/>
            <w:shd w:fill="F5F9FC"/>
            <w:vAlign w:val="center"/>
          </w:tcPr>
          <w:p>
            <w:pPr>
              <w:jc w:val="center"/>
            </w:pPr>
            <w:r/>
            <w:r>
              <w:rPr>
                <w:b w:val="0"/>
                <w:color w:val="294A63"/>
                <w:sz w:val="17"/>
              </w:rPr>
              <w:t>À tester</w:t>
            </w:r>
          </w:p>
        </w:tc>
      </w:tr>
      <w:tr>
        <w:tc>
          <w:tcPr>
            <w:tcW w:type="dxa" w:w="2520"/>
            <w:shd w:fill="FFFFFF"/>
            <w:vAlign w:val="center"/>
          </w:tcPr>
          <w:p>
            <w:pPr>
              <w:jc w:val="center"/>
            </w:pPr>
            <w:r/>
            <w:r>
              <w:rPr>
                <w:b w:val="0"/>
                <w:color w:val="294A63"/>
                <w:sz w:val="17"/>
              </w:rPr>
              <w:t>Qualification commerciale</w:t>
            </w:r>
          </w:p>
        </w:tc>
        <w:tc>
          <w:tcPr>
            <w:tcW w:type="dxa" w:w="2520"/>
            <w:shd w:fill="FFFFFF"/>
            <w:vAlign w:val="center"/>
          </w:tcPr>
          <w:p>
            <w:pPr>
              <w:jc w:val="center"/>
            </w:pPr>
            <w:r/>
            <w:r>
              <w:rPr>
                <w:b w:val="0"/>
                <w:color w:val="294A63"/>
                <w:sz w:val="17"/>
              </w:rPr>
              <w:t>Statut transmis au tableau de bord</w:t>
            </w:r>
          </w:p>
        </w:tc>
        <w:tc>
          <w:tcPr>
            <w:tcW w:type="dxa" w:w="2520"/>
            <w:shd w:fill="FFFFFF"/>
            <w:vAlign w:val="center"/>
          </w:tcPr>
          <w:p>
            <w:pPr>
              <w:jc w:val="center"/>
            </w:pPr>
            <w:r/>
            <w:r>
              <w:rPr>
                <w:b w:val="0"/>
                <w:color w:val="294A63"/>
                <w:sz w:val="17"/>
              </w:rPr>
              <w:t>Ventes</w:t>
            </w:r>
          </w:p>
        </w:tc>
        <w:tc>
          <w:tcPr>
            <w:tcW w:type="dxa" w:w="2520"/>
            <w:shd w:fill="FFFFFF"/>
            <w:vAlign w:val="center"/>
          </w:tcPr>
          <w:p>
            <w:pPr>
              <w:jc w:val="center"/>
            </w:pPr>
            <w:r/>
            <w:r>
              <w:rPr>
                <w:b w:val="0"/>
                <w:color w:val="294A63"/>
                <w:sz w:val="17"/>
              </w:rPr>
              <w:t>À tester</w:t>
            </w:r>
          </w:p>
        </w:tc>
      </w:tr>
      <w:tr>
        <w:tc>
          <w:tcPr>
            <w:tcW w:type="dxa" w:w="2520"/>
            <w:shd w:fill="F5F9FC"/>
            <w:vAlign w:val="center"/>
          </w:tcPr>
          <w:p>
            <w:pPr>
              <w:jc w:val="center"/>
            </w:pPr>
            <w:r/>
            <w:r>
              <w:rPr>
                <w:b w:val="0"/>
                <w:color w:val="294A63"/>
                <w:sz w:val="17"/>
              </w:rPr>
              <w:t>Désinscription e-mail</w:t>
            </w:r>
          </w:p>
        </w:tc>
        <w:tc>
          <w:tcPr>
            <w:tcW w:type="dxa" w:w="2520"/>
            <w:shd w:fill="F5F9FC"/>
            <w:vAlign w:val="center"/>
          </w:tcPr>
          <w:p>
            <w:pPr>
              <w:jc w:val="center"/>
            </w:pPr>
            <w:r/>
            <w:r>
              <w:rPr>
                <w:b w:val="0"/>
                <w:color w:val="294A63"/>
                <w:sz w:val="17"/>
              </w:rPr>
              <w:t>Préférence appliquée immédiatement</w:t>
            </w:r>
          </w:p>
        </w:tc>
        <w:tc>
          <w:tcPr>
            <w:tcW w:type="dxa" w:w="2520"/>
            <w:shd w:fill="F5F9FC"/>
            <w:vAlign w:val="center"/>
          </w:tcPr>
          <w:p>
            <w:pPr>
              <w:jc w:val="center"/>
            </w:pPr>
            <w:r/>
            <w:r>
              <w:rPr>
                <w:b w:val="0"/>
                <w:color w:val="294A63"/>
                <w:sz w:val="17"/>
              </w:rPr>
              <w:t>CRM</w:t>
            </w:r>
          </w:p>
        </w:tc>
        <w:tc>
          <w:tcPr>
            <w:tcW w:type="dxa" w:w="2520"/>
            <w:shd w:fill="F5F9FC"/>
            <w:vAlign w:val="center"/>
          </w:tcPr>
          <w:p>
            <w:pPr>
              <w:jc w:val="center"/>
            </w:pPr>
            <w:r/>
            <w:r>
              <w:rPr>
                <w:b w:val="0"/>
                <w:color w:val="294A63"/>
                <w:sz w:val="17"/>
              </w:rPr>
              <w:t>À tester</w:t>
            </w:r>
          </w:p>
        </w:tc>
      </w:tr>
    </w:tbl>
    <w:p/>
    <w:p>
      <w:pPr>
        <w:pStyle w:val="Heading1"/>
        <w:jc w:val="center"/>
      </w:pPr>
      <w:r>
        <w:rPr>
          <w:color w:val="3F83B8"/>
        </w:rPr>
        <w:t>10. Critères de clôture</w:t>
      </w:r>
    </w:p>
    <w:p>
      <w:pPr>
        <w:jc w:val="both"/>
      </w:pPr>
      <w:r>
        <w:t>L’audit est clôturé lorsque les propriétaires ont accepté les constats, que les cinq actions prioritaires disposent d’un budget et d’une échéance, que le plan de mesure a été testé sur mobile et ordinateur, et que la première revue de progrès est inscrite au calendrier de gouvernance.</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F8798"/>
        <w:sz w:val="16"/>
      </w:rPr>
      <w:t>Modèle professionnel à personnaliser selon les données validées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3F83B8"/>
        <w:sz w:val="16"/>
      </w:rPr>
      <w:t>LCG | STRATÉGIE DIGITALE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94A6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